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napToGrid/>
        <w:spacing w:line="600" w:lineRule="exact"/>
        <w:ind w:right="0"/>
        <w:jc w:val="center"/>
        <w:rPr>
          <w:rFonts w:hint="eastAsia" w:ascii="方正小标宋简体" w:eastAsia="方正小标宋简体"/>
          <w:color w:val="000000"/>
          <w:kern w:val="0"/>
          <w:sz w:val="44"/>
        </w:rPr>
      </w:pPr>
      <w:r>
        <w:rPr>
          <w:rFonts w:hint="eastAsia" w:ascii="方正小标宋简体" w:eastAsia="方正小标宋简体"/>
          <w:color w:val="000000"/>
          <w:kern w:val="0"/>
          <w:sz w:val="44"/>
        </w:rPr>
        <w:t>关于宁阳县202</w:t>
      </w:r>
      <w:r>
        <w:rPr>
          <w:rFonts w:hint="eastAsia" w:ascii="方正小标宋简体" w:eastAsia="方正小标宋简体"/>
          <w:color w:val="000000"/>
          <w:kern w:val="0"/>
          <w:sz w:val="44"/>
          <w:lang w:val="en-US" w:eastAsia="zh-CN"/>
        </w:rPr>
        <w:t>4</w:t>
      </w:r>
      <w:r>
        <w:rPr>
          <w:rFonts w:hint="eastAsia" w:ascii="方正小标宋简体" w:eastAsia="方正小标宋简体"/>
          <w:color w:val="000000"/>
          <w:kern w:val="0"/>
          <w:sz w:val="44"/>
        </w:rPr>
        <w:t>年国民经济和社会发展计划</w:t>
      </w:r>
    </w:p>
    <w:p>
      <w:pPr>
        <w:keepNext w:val="0"/>
        <w:keepLines w:val="0"/>
        <w:pageBreakBefore w:val="0"/>
        <w:kinsoku/>
        <w:wordWrap/>
        <w:overflowPunct/>
        <w:topLinePunct w:val="0"/>
        <w:autoSpaceDE/>
        <w:autoSpaceDN/>
        <w:bidi w:val="0"/>
        <w:snapToGrid/>
        <w:spacing w:line="600" w:lineRule="exact"/>
        <w:ind w:right="0"/>
        <w:jc w:val="center"/>
        <w:rPr>
          <w:rFonts w:hint="eastAsia" w:ascii="方正小标宋简体" w:eastAsia="方正小标宋简体"/>
          <w:color w:val="000000"/>
          <w:kern w:val="0"/>
          <w:sz w:val="44"/>
        </w:rPr>
      </w:pPr>
      <w:r>
        <w:rPr>
          <w:rFonts w:hint="eastAsia" w:ascii="方正小标宋简体" w:eastAsia="方正小标宋简体"/>
          <w:color w:val="000000"/>
          <w:kern w:val="0"/>
          <w:sz w:val="44"/>
        </w:rPr>
        <w:t>执行情况与202</w:t>
      </w:r>
      <w:r>
        <w:rPr>
          <w:rFonts w:hint="eastAsia" w:ascii="方正小标宋简体" w:eastAsia="方正小标宋简体"/>
          <w:color w:val="000000"/>
          <w:kern w:val="0"/>
          <w:sz w:val="44"/>
          <w:lang w:val="en-US" w:eastAsia="zh-CN"/>
        </w:rPr>
        <w:t>5</w:t>
      </w:r>
      <w:r>
        <w:rPr>
          <w:rFonts w:hint="eastAsia" w:ascii="方正小标宋简体" w:eastAsia="方正小标宋简体"/>
          <w:color w:val="000000"/>
          <w:kern w:val="0"/>
          <w:sz w:val="44"/>
        </w:rPr>
        <w:t>年计划草案的报告</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楷体_GB2312" w:eastAsia="楷体_GB2312"/>
          <w:snapToGrid w:val="0"/>
          <w:color w:val="auto"/>
          <w:spacing w:val="-6"/>
          <w:kern w:val="0"/>
          <w:sz w:val="32"/>
          <w:highlight w:val="none"/>
          <w:lang w:eastAsia="zh-CN"/>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楷体_GB2312" w:eastAsia="楷体_GB2312"/>
          <w:snapToGrid w:val="0"/>
          <w:color w:val="auto"/>
          <w:spacing w:val="-6"/>
          <w:kern w:val="0"/>
          <w:sz w:val="32"/>
          <w:highlight w:val="none"/>
        </w:rPr>
      </w:pPr>
      <w:r>
        <w:rPr>
          <w:rFonts w:hint="eastAsia" w:ascii="楷体_GB2312" w:eastAsia="楷体_GB2312"/>
          <w:snapToGrid w:val="0"/>
          <w:color w:val="auto"/>
          <w:spacing w:val="-6"/>
          <w:kern w:val="0"/>
          <w:sz w:val="32"/>
          <w:highlight w:val="none"/>
          <w:lang w:eastAsia="zh-CN"/>
        </w:rPr>
        <w:t>——</w:t>
      </w:r>
      <w:r>
        <w:rPr>
          <w:rFonts w:hint="eastAsia" w:ascii="楷体_GB2312" w:eastAsia="楷体_GB2312"/>
          <w:snapToGrid w:val="0"/>
          <w:color w:val="auto"/>
          <w:spacing w:val="-17"/>
          <w:kern w:val="0"/>
          <w:sz w:val="32"/>
          <w:highlight w:val="none"/>
        </w:rPr>
        <w:t>202</w:t>
      </w:r>
      <w:r>
        <w:rPr>
          <w:rFonts w:hint="eastAsia" w:ascii="楷体_GB2312" w:eastAsia="楷体_GB2312"/>
          <w:snapToGrid w:val="0"/>
          <w:color w:val="auto"/>
          <w:spacing w:val="-17"/>
          <w:kern w:val="0"/>
          <w:sz w:val="32"/>
          <w:highlight w:val="none"/>
          <w:lang w:val="en-US" w:eastAsia="zh-CN"/>
        </w:rPr>
        <w:t>5</w:t>
      </w:r>
      <w:r>
        <w:rPr>
          <w:rFonts w:hint="eastAsia" w:ascii="楷体_GB2312" w:eastAsia="楷体_GB2312"/>
          <w:snapToGrid w:val="0"/>
          <w:color w:val="auto"/>
          <w:spacing w:val="-17"/>
          <w:kern w:val="0"/>
          <w:sz w:val="32"/>
          <w:highlight w:val="none"/>
        </w:rPr>
        <w:t>年</w:t>
      </w:r>
      <w:r>
        <w:rPr>
          <w:rFonts w:hint="eastAsia" w:ascii="楷体_GB2312" w:eastAsia="楷体_GB2312"/>
          <w:snapToGrid w:val="0"/>
          <w:color w:val="auto"/>
          <w:spacing w:val="-17"/>
          <w:kern w:val="0"/>
          <w:sz w:val="32"/>
          <w:highlight w:val="none"/>
          <w:lang w:val="en-US" w:eastAsia="zh-CN"/>
        </w:rPr>
        <w:t>2</w:t>
      </w:r>
      <w:r>
        <w:rPr>
          <w:rFonts w:hint="eastAsia" w:ascii="楷体_GB2312" w:eastAsia="楷体_GB2312"/>
          <w:snapToGrid w:val="0"/>
          <w:color w:val="auto"/>
          <w:spacing w:val="-17"/>
          <w:kern w:val="0"/>
          <w:sz w:val="32"/>
          <w:highlight w:val="none"/>
        </w:rPr>
        <w:t>月</w:t>
      </w:r>
      <w:r>
        <w:rPr>
          <w:rFonts w:hint="eastAsia" w:ascii="楷体_GB2312" w:eastAsia="楷体_GB2312"/>
          <w:snapToGrid w:val="0"/>
          <w:color w:val="auto"/>
          <w:spacing w:val="-17"/>
          <w:kern w:val="0"/>
          <w:sz w:val="32"/>
          <w:highlight w:val="none"/>
          <w:lang w:val="en-US" w:eastAsia="zh-CN"/>
        </w:rPr>
        <w:t>27</w:t>
      </w:r>
      <w:r>
        <w:rPr>
          <w:rFonts w:hint="eastAsia" w:ascii="楷体_GB2312" w:eastAsia="楷体_GB2312"/>
          <w:snapToGrid w:val="0"/>
          <w:color w:val="auto"/>
          <w:spacing w:val="-17"/>
          <w:kern w:val="0"/>
          <w:sz w:val="32"/>
          <w:highlight w:val="none"/>
        </w:rPr>
        <w:t>日在宁阳县第</w:t>
      </w:r>
      <w:r>
        <w:rPr>
          <w:rFonts w:hint="eastAsia" w:ascii="楷体_GB2312" w:eastAsia="楷体_GB2312"/>
          <w:snapToGrid w:val="0"/>
          <w:color w:val="auto"/>
          <w:spacing w:val="-17"/>
          <w:kern w:val="0"/>
          <w:sz w:val="32"/>
          <w:highlight w:val="none"/>
          <w:lang w:val="en-US" w:eastAsia="zh-CN"/>
        </w:rPr>
        <w:t>十九</w:t>
      </w:r>
      <w:r>
        <w:rPr>
          <w:rFonts w:hint="eastAsia" w:ascii="楷体_GB2312" w:eastAsia="楷体_GB2312"/>
          <w:snapToGrid w:val="0"/>
          <w:color w:val="auto"/>
          <w:spacing w:val="-17"/>
          <w:kern w:val="0"/>
          <w:sz w:val="32"/>
          <w:highlight w:val="none"/>
        </w:rPr>
        <w:t>届人民代表大会第</w:t>
      </w:r>
      <w:r>
        <w:rPr>
          <w:rFonts w:hint="eastAsia" w:ascii="楷体_GB2312" w:eastAsia="楷体_GB2312"/>
          <w:snapToGrid w:val="0"/>
          <w:color w:val="auto"/>
          <w:spacing w:val="-17"/>
          <w:kern w:val="0"/>
          <w:sz w:val="32"/>
          <w:highlight w:val="none"/>
          <w:lang w:val="en-US" w:eastAsia="zh-CN"/>
        </w:rPr>
        <w:t>四</w:t>
      </w:r>
      <w:r>
        <w:rPr>
          <w:rFonts w:hint="eastAsia" w:ascii="楷体_GB2312" w:eastAsia="楷体_GB2312"/>
          <w:snapToGrid w:val="0"/>
          <w:color w:val="auto"/>
          <w:spacing w:val="-17"/>
          <w:kern w:val="0"/>
          <w:sz w:val="32"/>
          <w:szCs w:val="22"/>
          <w:highlight w:val="none"/>
        </w:rPr>
        <w:t>次</w:t>
      </w:r>
      <w:r>
        <w:rPr>
          <w:rFonts w:hint="eastAsia" w:ascii="楷体_GB2312" w:eastAsia="楷体_GB2312"/>
          <w:snapToGrid w:val="0"/>
          <w:color w:val="auto"/>
          <w:spacing w:val="-17"/>
          <w:kern w:val="0"/>
          <w:sz w:val="32"/>
          <w:highlight w:val="none"/>
        </w:rPr>
        <w:t>会议上</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snapToGrid w:val="0"/>
          <w:color w:val="auto"/>
          <w:spacing w:val="0"/>
          <w:kern w:val="0"/>
          <w:sz w:val="32"/>
          <w:highlight w:val="none"/>
          <w:lang w:val="en-US" w:eastAsia="zh-CN"/>
        </w:rPr>
      </w:pPr>
      <w:r>
        <w:rPr>
          <w:rFonts w:hint="eastAsia" w:ascii="楷体_GB2312" w:hAnsi="楷体_GB2312" w:eastAsia="楷体_GB2312" w:cs="楷体_GB2312"/>
          <w:snapToGrid w:val="0"/>
          <w:color w:val="auto"/>
          <w:spacing w:val="0"/>
          <w:kern w:val="0"/>
          <w:sz w:val="32"/>
          <w:highlight w:val="none"/>
          <w:lang w:val="en-US" w:eastAsia="zh-CN"/>
        </w:rPr>
        <w:t>宁阳县发展和改革局党组书记、局长</w:t>
      </w:r>
      <w:r>
        <w:rPr>
          <w:rFonts w:hint="eastAsia" w:ascii="楷体_GB2312" w:hAnsi="楷体_GB2312" w:eastAsia="楷体_GB2312" w:cs="楷体_GB2312"/>
          <w:snapToGrid w:val="0"/>
          <w:color w:val="auto"/>
          <w:spacing w:val="0"/>
          <w:kern w:val="0"/>
          <w:sz w:val="32"/>
          <w:lang w:val="en-US" w:eastAsia="zh-CN"/>
        </w:rPr>
        <w:t xml:space="preserve">  </w:t>
      </w:r>
      <w:r>
        <w:rPr>
          <w:rFonts w:hint="eastAsia" w:ascii="楷体_GB2312" w:hAnsi="楷体_GB2312" w:eastAsia="楷体_GB2312" w:cs="楷体_GB2312"/>
          <w:snapToGrid w:val="0"/>
          <w:color w:val="auto"/>
          <w:spacing w:val="0"/>
          <w:kern w:val="0"/>
          <w:sz w:val="32"/>
          <w:highlight w:val="none"/>
          <w:lang w:val="en-US" w:eastAsia="zh-CN"/>
        </w:rPr>
        <w:t>任杨峰</w:t>
      </w:r>
    </w:p>
    <w:p>
      <w:pPr>
        <w:keepNext w:val="0"/>
        <w:keepLines w:val="0"/>
        <w:pageBreakBefore w:val="0"/>
        <w:kinsoku/>
        <w:wordWrap/>
        <w:overflowPunct/>
        <w:topLinePunct w:val="0"/>
        <w:autoSpaceDE/>
        <w:autoSpaceDN/>
        <w:bidi w:val="0"/>
        <w:snapToGrid/>
        <w:spacing w:line="600" w:lineRule="exact"/>
        <w:ind w:right="0"/>
        <w:jc w:val="both"/>
        <w:rPr>
          <w:rFonts w:hint="eastAsia" w:ascii="仿宋_GB2312" w:eastAsia="仿宋_GB2312"/>
          <w:color w:val="000000"/>
          <w:kern w:val="0"/>
          <w:sz w:val="32"/>
          <w:szCs w:val="32"/>
        </w:rPr>
      </w:pPr>
    </w:p>
    <w:p>
      <w:pPr>
        <w:keepNext w:val="0"/>
        <w:keepLines w:val="0"/>
        <w:pageBreakBefore w:val="0"/>
        <w:kinsoku/>
        <w:wordWrap/>
        <w:overflowPunct/>
        <w:topLinePunct w:val="0"/>
        <w:autoSpaceDE/>
        <w:autoSpaceDN/>
        <w:bidi w:val="0"/>
        <w:adjustRightInd/>
        <w:snapToGrid/>
        <w:spacing w:line="560" w:lineRule="exact"/>
        <w:ind w:right="0"/>
        <w:jc w:val="both"/>
        <w:textAlignment w:val="auto"/>
        <w:rPr>
          <w:rFonts w:hint="eastAsia" w:ascii="仿宋_GB2312" w:eastAsia="仿宋_GB2312"/>
          <w:color w:val="000000"/>
          <w:kern w:val="0"/>
          <w:sz w:val="32"/>
          <w:szCs w:val="32"/>
        </w:rPr>
      </w:pPr>
      <w:r>
        <w:rPr>
          <w:rFonts w:hint="eastAsia" w:ascii="仿宋_GB2312" w:eastAsia="仿宋_GB2312"/>
          <w:color w:val="000000"/>
          <w:kern w:val="0"/>
          <w:sz w:val="32"/>
          <w:szCs w:val="32"/>
        </w:rPr>
        <w:t>各位代表：</w:t>
      </w:r>
    </w:p>
    <w:p>
      <w:pPr>
        <w:keepNext w:val="0"/>
        <w:keepLines w:val="0"/>
        <w:pageBreakBefore w:val="0"/>
        <w:kinsoku/>
        <w:wordWrap/>
        <w:overflowPunct/>
        <w:topLinePunct w:val="0"/>
        <w:autoSpaceDE/>
        <w:autoSpaceDN/>
        <w:bidi w:val="0"/>
        <w:adjustRightInd/>
        <w:snapToGrid/>
        <w:spacing w:line="560" w:lineRule="exact"/>
        <w:ind w:right="0" w:firstLine="640"/>
        <w:jc w:val="both"/>
        <w:textAlignment w:val="auto"/>
        <w:rPr>
          <w:rFonts w:hint="eastAsia" w:ascii="仿宋_GB2312" w:eastAsia="仿宋_GB2312"/>
          <w:color w:val="000000"/>
          <w:kern w:val="0"/>
          <w:sz w:val="32"/>
          <w:szCs w:val="32"/>
        </w:rPr>
      </w:pPr>
      <w:r>
        <w:rPr>
          <w:rFonts w:hint="eastAsia" w:ascii="仿宋_GB2312" w:eastAsia="仿宋_GB2312"/>
          <w:color w:val="000000"/>
          <w:kern w:val="0"/>
          <w:sz w:val="32"/>
          <w:szCs w:val="32"/>
        </w:rPr>
        <w:t>我受县人民政府委托，向大会提交宁阳县202</w:t>
      </w:r>
      <w:r>
        <w:rPr>
          <w:rFonts w:hint="eastAsia" w:ascii="仿宋_GB2312" w:eastAsia="仿宋_GB2312"/>
          <w:color w:val="000000"/>
          <w:kern w:val="0"/>
          <w:sz w:val="32"/>
          <w:szCs w:val="32"/>
          <w:lang w:val="en-US" w:eastAsia="zh-CN"/>
        </w:rPr>
        <w:t>4</w:t>
      </w:r>
      <w:r>
        <w:rPr>
          <w:rFonts w:hint="eastAsia" w:ascii="仿宋_GB2312" w:eastAsia="仿宋_GB2312"/>
          <w:color w:val="000000"/>
          <w:kern w:val="0"/>
          <w:sz w:val="32"/>
          <w:szCs w:val="32"/>
        </w:rPr>
        <w:t>年国民经济和社会发展计划执行情况与202</w:t>
      </w:r>
      <w:r>
        <w:rPr>
          <w:rFonts w:hint="eastAsia" w:ascii="仿宋_GB2312" w:eastAsia="仿宋_GB2312"/>
          <w:color w:val="000000"/>
          <w:kern w:val="0"/>
          <w:sz w:val="32"/>
          <w:szCs w:val="32"/>
          <w:lang w:val="en-US" w:eastAsia="zh-CN"/>
        </w:rPr>
        <w:t>5</w:t>
      </w:r>
      <w:r>
        <w:rPr>
          <w:rFonts w:hint="eastAsia" w:ascii="仿宋_GB2312" w:eastAsia="仿宋_GB2312"/>
          <w:color w:val="000000"/>
          <w:kern w:val="0"/>
          <w:sz w:val="32"/>
          <w:szCs w:val="32"/>
        </w:rPr>
        <w:t>年计划草案的报告，请予审议，并请县政协委员和其他列席会议的同志提出意见。</w:t>
      </w:r>
    </w:p>
    <w:p>
      <w:pPr>
        <w:keepNext w:val="0"/>
        <w:keepLines w:val="0"/>
        <w:pageBreakBefore w:val="0"/>
        <w:kinsoku/>
        <w:wordWrap/>
        <w:overflowPunct/>
        <w:topLinePunct w:val="0"/>
        <w:autoSpaceDE/>
        <w:autoSpaceDN/>
        <w:bidi w:val="0"/>
        <w:adjustRightInd/>
        <w:snapToGrid/>
        <w:spacing w:line="560" w:lineRule="exact"/>
        <w:ind w:right="0" w:firstLine="640"/>
        <w:jc w:val="both"/>
        <w:textAlignment w:val="auto"/>
        <w:rPr>
          <w:rFonts w:hint="eastAsia" w:ascii="黑体" w:eastAsia="黑体"/>
          <w:color w:val="000000"/>
          <w:kern w:val="0"/>
          <w:sz w:val="32"/>
          <w:szCs w:val="32"/>
        </w:rPr>
      </w:pPr>
      <w:r>
        <w:rPr>
          <w:rFonts w:hint="eastAsia" w:ascii="黑体" w:eastAsia="黑体"/>
          <w:color w:val="000000"/>
          <w:kern w:val="0"/>
          <w:sz w:val="32"/>
          <w:szCs w:val="32"/>
        </w:rPr>
        <w:t>一、202</w:t>
      </w:r>
      <w:r>
        <w:rPr>
          <w:rFonts w:hint="eastAsia" w:ascii="黑体" w:eastAsia="黑体"/>
          <w:color w:val="000000"/>
          <w:kern w:val="0"/>
          <w:sz w:val="32"/>
          <w:szCs w:val="32"/>
          <w:lang w:val="en-US" w:eastAsia="zh-CN"/>
        </w:rPr>
        <w:t>4</w:t>
      </w:r>
      <w:r>
        <w:rPr>
          <w:rFonts w:hint="eastAsia" w:ascii="黑体" w:eastAsia="黑体"/>
          <w:color w:val="000000"/>
          <w:kern w:val="0"/>
          <w:sz w:val="32"/>
          <w:szCs w:val="32"/>
        </w:rPr>
        <w:t>年国民经济和社会发展计划执行情况</w:t>
      </w:r>
    </w:p>
    <w:p>
      <w:pPr>
        <w:keepNext w:val="0"/>
        <w:keepLines w:val="0"/>
        <w:pageBreakBefore w:val="0"/>
        <w:kinsoku/>
        <w:wordWrap/>
        <w:overflowPunct/>
        <w:topLinePunct w:val="0"/>
        <w:autoSpaceDE/>
        <w:autoSpaceDN/>
        <w:bidi w:val="0"/>
        <w:adjustRightInd/>
        <w:snapToGrid/>
        <w:spacing w:line="560" w:lineRule="exact"/>
        <w:ind w:right="0" w:firstLine="640"/>
        <w:jc w:val="both"/>
        <w:textAlignment w:val="auto"/>
        <w:rPr>
          <w:rFonts w:hint="eastAsia" w:ascii="仿宋_GB2312" w:eastAsia="仿宋_GB2312"/>
          <w:color w:val="000000"/>
          <w:kern w:val="0"/>
          <w:sz w:val="32"/>
          <w:szCs w:val="32"/>
        </w:rPr>
      </w:pPr>
      <w:r>
        <w:rPr>
          <w:rFonts w:hint="eastAsia" w:ascii="仿宋_GB2312" w:eastAsia="仿宋_GB2312"/>
          <w:color w:val="000000"/>
          <w:kern w:val="0"/>
          <w:sz w:val="32"/>
          <w:szCs w:val="32"/>
        </w:rPr>
        <w:t>2024年</w:t>
      </w:r>
      <w:r>
        <w:rPr>
          <w:rFonts w:hint="eastAsia" w:ascii="仿宋_GB2312" w:eastAsia="仿宋_GB2312"/>
          <w:color w:val="000000"/>
          <w:kern w:val="0"/>
          <w:sz w:val="32"/>
          <w:szCs w:val="32"/>
          <w:lang w:eastAsia="zh-CN"/>
        </w:rPr>
        <w:t>，</w:t>
      </w:r>
      <w:r>
        <w:rPr>
          <w:rFonts w:hint="eastAsia" w:ascii="仿宋_GB2312" w:eastAsia="仿宋_GB2312"/>
          <w:color w:val="000000"/>
          <w:kern w:val="0"/>
          <w:sz w:val="32"/>
          <w:szCs w:val="32"/>
        </w:rPr>
        <w:t>全县各级在县委的坚强领导下，在县人大、县政协的监督支持下，坚持以习近平新时代中国特色社会主义思想为指导，深入学习贯彻党的二十大和二十届二中、三中全会精神，全面贯彻党中央决策部署和省委、市委</w:t>
      </w:r>
      <w:r>
        <w:rPr>
          <w:rFonts w:hint="eastAsia" w:ascii="仿宋_GB2312" w:eastAsia="仿宋_GB2312"/>
          <w:color w:val="000000"/>
          <w:kern w:val="0"/>
          <w:sz w:val="32"/>
          <w:szCs w:val="32"/>
          <w:lang w:eastAsia="zh-CN"/>
        </w:rPr>
        <w:t>、县委</w:t>
      </w:r>
      <w:r>
        <w:rPr>
          <w:rFonts w:hint="eastAsia" w:ascii="仿宋_GB2312" w:eastAsia="仿宋_GB2312"/>
          <w:color w:val="000000"/>
          <w:kern w:val="0"/>
          <w:sz w:val="32"/>
          <w:szCs w:val="32"/>
        </w:rPr>
        <w:t>工作要求，深入落实“123456”总体工作思路，</w:t>
      </w:r>
      <w:r>
        <w:rPr>
          <w:rFonts w:hint="eastAsia" w:ascii="仿宋_GB2312" w:eastAsia="仿宋_GB2312"/>
          <w:color w:val="000000"/>
          <w:kern w:val="0"/>
          <w:sz w:val="32"/>
          <w:szCs w:val="32"/>
          <w:lang w:eastAsia="zh-CN"/>
        </w:rPr>
        <w:t>始终坚持“四个第一”，突出“六个更加注重”，登高望远、奋力争先，担当作为、真抓实干</w:t>
      </w:r>
      <w:r>
        <w:rPr>
          <w:rFonts w:hint="eastAsia" w:ascii="仿宋_GB2312" w:eastAsia="仿宋_GB2312"/>
          <w:color w:val="000000"/>
          <w:kern w:val="0"/>
          <w:sz w:val="32"/>
          <w:szCs w:val="32"/>
        </w:rPr>
        <w:t>，全县经济社会</w:t>
      </w:r>
      <w:r>
        <w:rPr>
          <w:rFonts w:hint="eastAsia" w:ascii="仿宋_GB2312" w:eastAsia="仿宋_GB2312"/>
          <w:color w:val="000000"/>
          <w:kern w:val="0"/>
          <w:sz w:val="32"/>
          <w:szCs w:val="32"/>
          <w:lang w:val="en-US" w:eastAsia="zh-CN"/>
        </w:rPr>
        <w:t>发展取得令人瞩目的成绩。</w:t>
      </w:r>
    </w:p>
    <w:p>
      <w:pPr>
        <w:keepNext w:val="0"/>
        <w:keepLines w:val="0"/>
        <w:pageBreakBefore w:val="0"/>
        <w:kinsoku/>
        <w:wordWrap/>
        <w:overflowPunct/>
        <w:topLinePunct w:val="0"/>
        <w:autoSpaceDE/>
        <w:autoSpaceDN/>
        <w:bidi w:val="0"/>
        <w:adjustRightInd/>
        <w:snapToGrid/>
        <w:spacing w:line="560" w:lineRule="exact"/>
        <w:ind w:right="0" w:firstLine="640" w:firstLineChars="200"/>
        <w:jc w:val="both"/>
        <w:textAlignment w:val="auto"/>
        <w:rPr>
          <w:rFonts w:hint="eastAsia" w:ascii="楷体_GB2312" w:eastAsia="楷体_GB2312"/>
          <w:color w:val="000000"/>
          <w:kern w:val="0"/>
          <w:sz w:val="32"/>
          <w:szCs w:val="32"/>
        </w:rPr>
      </w:pPr>
      <w:r>
        <w:rPr>
          <w:rFonts w:hint="eastAsia" w:ascii="楷体_GB2312" w:eastAsia="楷体_GB2312"/>
          <w:color w:val="000000"/>
          <w:kern w:val="0"/>
          <w:sz w:val="32"/>
          <w:szCs w:val="32"/>
        </w:rPr>
        <w:t>（一）国民经济稳中</w:t>
      </w:r>
      <w:r>
        <w:rPr>
          <w:rFonts w:hint="eastAsia" w:ascii="楷体_GB2312" w:eastAsia="楷体_GB2312"/>
          <w:color w:val="000000"/>
          <w:kern w:val="0"/>
          <w:sz w:val="32"/>
          <w:szCs w:val="32"/>
          <w:lang w:eastAsia="zh-CN"/>
        </w:rPr>
        <w:t>向好</w:t>
      </w:r>
      <w:r>
        <w:rPr>
          <w:rFonts w:hint="eastAsia" w:ascii="楷体_GB2312" w:eastAsia="楷体_GB2312"/>
          <w:color w:val="000000"/>
          <w:kern w:val="0"/>
          <w:sz w:val="32"/>
          <w:szCs w:val="32"/>
        </w:rPr>
        <w:t>，综合实力</w:t>
      </w:r>
      <w:r>
        <w:rPr>
          <w:rFonts w:hint="eastAsia" w:ascii="楷体_GB2312" w:eastAsia="楷体_GB2312"/>
          <w:color w:val="000000"/>
          <w:kern w:val="0"/>
          <w:sz w:val="32"/>
          <w:szCs w:val="32"/>
          <w:lang w:val="en-US" w:eastAsia="zh-CN"/>
        </w:rPr>
        <w:t>显著提升</w:t>
      </w:r>
      <w:r>
        <w:rPr>
          <w:rFonts w:hint="eastAsia" w:ascii="楷体_GB2312" w:eastAsia="楷体_GB2312"/>
          <w:color w:val="000000"/>
          <w:kern w:val="0"/>
          <w:sz w:val="32"/>
          <w:szCs w:val="32"/>
        </w:rPr>
        <w:t>。</w:t>
      </w:r>
      <w:r>
        <w:rPr>
          <w:rFonts w:hint="eastAsia" w:ascii="仿宋_GB2312" w:eastAsia="仿宋_GB2312"/>
          <w:color w:val="000000"/>
          <w:kern w:val="0"/>
          <w:sz w:val="32"/>
          <w:szCs w:val="32"/>
          <w:lang w:val="en-US" w:eastAsia="zh-CN"/>
        </w:rPr>
        <w:t>全年</w:t>
      </w:r>
      <w:r>
        <w:rPr>
          <w:rFonts w:hint="eastAsia" w:ascii="仿宋_GB2312" w:eastAsia="仿宋_GB2312"/>
          <w:color w:val="000000"/>
          <w:kern w:val="0"/>
          <w:sz w:val="32"/>
          <w:szCs w:val="32"/>
        </w:rPr>
        <w:t>实现生产总值</w:t>
      </w:r>
      <w:r>
        <w:rPr>
          <w:rFonts w:hint="eastAsia" w:ascii="仿宋_GB2312" w:eastAsia="仿宋_GB2312"/>
          <w:color w:val="000000"/>
          <w:kern w:val="0"/>
          <w:sz w:val="32"/>
          <w:szCs w:val="32"/>
          <w:lang w:val="en-US" w:eastAsia="zh-CN"/>
        </w:rPr>
        <w:t>343.2</w:t>
      </w:r>
      <w:r>
        <w:rPr>
          <w:rFonts w:hint="eastAsia" w:ascii="仿宋_GB2312" w:eastAsia="仿宋_GB2312"/>
          <w:color w:val="000000"/>
          <w:kern w:val="0"/>
          <w:sz w:val="32"/>
          <w:szCs w:val="32"/>
        </w:rPr>
        <w:t>亿元</w:t>
      </w:r>
      <w:r>
        <w:rPr>
          <w:rFonts w:hint="eastAsia" w:ascii="仿宋_GB2312" w:eastAsia="仿宋_GB2312"/>
          <w:color w:val="000000"/>
          <w:kern w:val="0"/>
          <w:sz w:val="32"/>
          <w:szCs w:val="32"/>
          <w:lang w:eastAsia="zh-CN"/>
        </w:rPr>
        <w:t>、</w:t>
      </w:r>
      <w:r>
        <w:rPr>
          <w:rFonts w:hint="eastAsia" w:ascii="仿宋_GB2312" w:eastAsia="仿宋_GB2312"/>
          <w:color w:val="000000"/>
          <w:kern w:val="0"/>
          <w:sz w:val="32"/>
          <w:szCs w:val="32"/>
        </w:rPr>
        <w:t>同比增长</w:t>
      </w:r>
      <w:r>
        <w:rPr>
          <w:rFonts w:hint="eastAsia" w:ascii="仿宋_GB2312" w:eastAsia="仿宋_GB2312"/>
          <w:color w:val="000000"/>
          <w:kern w:val="0"/>
          <w:sz w:val="32"/>
          <w:szCs w:val="32"/>
          <w:lang w:val="en-US" w:eastAsia="zh-CN"/>
        </w:rPr>
        <w:t>5.9</w:t>
      </w:r>
      <w:r>
        <w:rPr>
          <w:rFonts w:hint="eastAsia" w:ascii="仿宋_GB2312" w:eastAsia="仿宋_GB2312"/>
          <w:color w:val="000000"/>
          <w:kern w:val="0"/>
          <w:sz w:val="32"/>
          <w:szCs w:val="32"/>
        </w:rPr>
        <w:t>%</w:t>
      </w:r>
      <w:r>
        <w:rPr>
          <w:rFonts w:hint="eastAsia" w:ascii="仿宋_GB2312" w:eastAsia="仿宋_GB2312"/>
          <w:color w:val="000000"/>
          <w:kern w:val="0"/>
          <w:sz w:val="32"/>
          <w:szCs w:val="32"/>
          <w:lang w:eastAsia="zh-CN"/>
        </w:rPr>
        <w:t>，其中一、二、三产业增加值分别</w:t>
      </w:r>
      <w:r>
        <w:rPr>
          <w:rFonts w:hint="eastAsia" w:ascii="仿宋_GB2312" w:eastAsia="仿宋_GB2312"/>
          <w:color w:val="000000"/>
          <w:kern w:val="0"/>
          <w:sz w:val="32"/>
          <w:szCs w:val="32"/>
        </w:rPr>
        <w:t>完成</w:t>
      </w:r>
      <w:r>
        <w:rPr>
          <w:rFonts w:hint="eastAsia" w:ascii="仿宋_GB2312" w:eastAsia="仿宋_GB2312"/>
          <w:color w:val="000000"/>
          <w:kern w:val="0"/>
          <w:sz w:val="32"/>
          <w:szCs w:val="32"/>
          <w:lang w:val="en-US" w:eastAsia="zh-CN"/>
        </w:rPr>
        <w:t>72.7亿元、123.1亿元和147.3亿元，同比分别增长3.8</w:t>
      </w:r>
      <w:r>
        <w:rPr>
          <w:rFonts w:hint="eastAsia" w:ascii="仿宋_GB2312" w:eastAsia="仿宋_GB2312"/>
          <w:color w:val="000000"/>
          <w:kern w:val="0"/>
          <w:sz w:val="32"/>
          <w:szCs w:val="32"/>
        </w:rPr>
        <w:t>%</w:t>
      </w:r>
      <w:r>
        <w:rPr>
          <w:rFonts w:hint="eastAsia" w:ascii="仿宋_GB2312" w:eastAsia="仿宋_GB2312"/>
          <w:color w:val="000000"/>
          <w:kern w:val="0"/>
          <w:sz w:val="32"/>
          <w:szCs w:val="32"/>
          <w:lang w:eastAsia="zh-CN"/>
        </w:rPr>
        <w:t>、</w:t>
      </w:r>
      <w:r>
        <w:rPr>
          <w:rFonts w:hint="eastAsia" w:ascii="仿宋_GB2312" w:eastAsia="仿宋_GB2312"/>
          <w:color w:val="000000"/>
          <w:kern w:val="0"/>
          <w:sz w:val="32"/>
          <w:szCs w:val="32"/>
          <w:lang w:val="en-US" w:eastAsia="zh-CN"/>
        </w:rPr>
        <w:t>7.6</w:t>
      </w:r>
      <w:r>
        <w:rPr>
          <w:rFonts w:hint="eastAsia" w:ascii="仿宋_GB2312" w:eastAsia="仿宋_GB2312"/>
          <w:color w:val="000000"/>
          <w:kern w:val="0"/>
          <w:sz w:val="32"/>
          <w:szCs w:val="32"/>
        </w:rPr>
        <w:t>%</w:t>
      </w:r>
      <w:r>
        <w:rPr>
          <w:rFonts w:hint="eastAsia" w:ascii="仿宋_GB2312" w:eastAsia="仿宋_GB2312"/>
          <w:color w:val="000000"/>
          <w:kern w:val="0"/>
          <w:sz w:val="32"/>
          <w:szCs w:val="32"/>
          <w:lang w:eastAsia="zh-CN"/>
        </w:rPr>
        <w:t>和</w:t>
      </w:r>
      <w:r>
        <w:rPr>
          <w:rFonts w:hint="eastAsia" w:ascii="仿宋_GB2312" w:eastAsia="仿宋_GB2312"/>
          <w:color w:val="000000"/>
          <w:kern w:val="0"/>
          <w:sz w:val="32"/>
          <w:szCs w:val="32"/>
          <w:lang w:val="en-US" w:eastAsia="zh-CN"/>
        </w:rPr>
        <w:t>5.7</w:t>
      </w:r>
      <w:r>
        <w:rPr>
          <w:rFonts w:hint="eastAsia" w:ascii="仿宋_GB2312" w:eastAsia="仿宋_GB2312"/>
          <w:color w:val="000000"/>
          <w:kern w:val="0"/>
          <w:sz w:val="32"/>
          <w:szCs w:val="32"/>
        </w:rPr>
        <w:t>%</w:t>
      </w:r>
      <w:r>
        <w:rPr>
          <w:rFonts w:hint="eastAsia" w:ascii="仿宋_GB2312" w:eastAsia="仿宋_GB2312"/>
          <w:color w:val="000000"/>
          <w:kern w:val="0"/>
          <w:sz w:val="32"/>
          <w:szCs w:val="32"/>
          <w:lang w:eastAsia="zh-CN"/>
        </w:rPr>
        <w:t>。全县完成</w:t>
      </w:r>
      <w:r>
        <w:rPr>
          <w:rFonts w:hint="eastAsia" w:ascii="仿宋_GB2312" w:eastAsia="仿宋_GB2312"/>
          <w:color w:val="000000"/>
          <w:kern w:val="0"/>
          <w:sz w:val="32"/>
          <w:szCs w:val="32"/>
        </w:rPr>
        <w:t>一般公共预算收入</w:t>
      </w:r>
      <w:r>
        <w:rPr>
          <w:rFonts w:hint="eastAsia" w:ascii="仿宋_GB2312" w:eastAsia="仿宋_GB2312"/>
          <w:color w:val="000000"/>
          <w:kern w:val="0"/>
          <w:sz w:val="32"/>
          <w:szCs w:val="32"/>
          <w:lang w:val="en-US" w:eastAsia="zh-CN"/>
        </w:rPr>
        <w:t>20.03</w:t>
      </w:r>
      <w:r>
        <w:rPr>
          <w:rFonts w:hint="eastAsia" w:ascii="仿宋_GB2312" w:eastAsia="仿宋_GB2312"/>
          <w:color w:val="000000"/>
          <w:kern w:val="0"/>
          <w:sz w:val="32"/>
          <w:szCs w:val="32"/>
        </w:rPr>
        <w:t>亿元</w:t>
      </w:r>
      <w:r>
        <w:rPr>
          <w:rFonts w:hint="eastAsia" w:ascii="仿宋_GB2312" w:eastAsia="仿宋_GB2312"/>
          <w:color w:val="000000"/>
          <w:kern w:val="0"/>
          <w:sz w:val="32"/>
          <w:szCs w:val="32"/>
          <w:lang w:eastAsia="zh-CN"/>
        </w:rPr>
        <w:t>、</w:t>
      </w:r>
      <w:r>
        <w:rPr>
          <w:rFonts w:hint="eastAsia" w:ascii="仿宋_GB2312" w:eastAsia="仿宋_GB2312"/>
          <w:color w:val="000000"/>
          <w:kern w:val="0"/>
          <w:sz w:val="32"/>
          <w:szCs w:val="32"/>
        </w:rPr>
        <w:t>社会消费品零售总额166.1亿元，同</w:t>
      </w:r>
      <w:r>
        <w:rPr>
          <w:rFonts w:hint="eastAsia" w:ascii="仿宋_GB2312" w:eastAsia="仿宋_GB2312"/>
          <w:color w:val="000000"/>
          <w:kern w:val="0"/>
          <w:sz w:val="32"/>
          <w:szCs w:val="32"/>
          <w:lang w:val="en-US" w:eastAsia="zh-CN"/>
        </w:rPr>
        <w:t>比分别</w:t>
      </w:r>
      <w:r>
        <w:rPr>
          <w:rFonts w:hint="eastAsia" w:ascii="仿宋_GB2312" w:eastAsia="仿宋_GB2312"/>
          <w:color w:val="000000"/>
          <w:kern w:val="0"/>
          <w:sz w:val="32"/>
          <w:szCs w:val="32"/>
        </w:rPr>
        <w:t>增长</w:t>
      </w:r>
      <w:r>
        <w:rPr>
          <w:rFonts w:hint="eastAsia" w:ascii="仿宋_GB2312" w:eastAsia="仿宋_GB2312"/>
          <w:color w:val="000000"/>
          <w:kern w:val="0"/>
          <w:sz w:val="32"/>
          <w:szCs w:val="32"/>
          <w:lang w:val="en-US" w:eastAsia="zh-CN"/>
        </w:rPr>
        <w:t>12.9</w:t>
      </w:r>
      <w:r>
        <w:rPr>
          <w:rFonts w:hint="eastAsia" w:ascii="仿宋_GB2312" w:eastAsia="仿宋_GB2312"/>
          <w:color w:val="000000"/>
          <w:kern w:val="0"/>
          <w:sz w:val="32"/>
          <w:szCs w:val="32"/>
        </w:rPr>
        <w:t>%</w:t>
      </w:r>
      <w:r>
        <w:rPr>
          <w:rFonts w:hint="eastAsia" w:ascii="仿宋_GB2312" w:eastAsia="仿宋_GB2312"/>
          <w:color w:val="000000"/>
          <w:kern w:val="0"/>
          <w:sz w:val="32"/>
          <w:szCs w:val="32"/>
          <w:lang w:eastAsia="zh-CN"/>
        </w:rPr>
        <w:t>、</w:t>
      </w:r>
      <w:r>
        <w:rPr>
          <w:rFonts w:hint="eastAsia" w:ascii="仿宋_GB2312" w:eastAsia="仿宋_GB2312"/>
          <w:color w:val="000000"/>
          <w:kern w:val="0"/>
          <w:sz w:val="32"/>
          <w:szCs w:val="32"/>
          <w:lang w:val="en-US" w:eastAsia="zh-CN"/>
        </w:rPr>
        <w:t>7.9</w:t>
      </w:r>
      <w:r>
        <w:rPr>
          <w:rFonts w:hint="eastAsia" w:ascii="仿宋_GB2312" w:eastAsia="仿宋_GB2312"/>
          <w:color w:val="000000"/>
          <w:kern w:val="0"/>
          <w:sz w:val="32"/>
          <w:szCs w:val="32"/>
        </w:rPr>
        <w:t>%；固定资产投资</w:t>
      </w:r>
      <w:r>
        <w:rPr>
          <w:rFonts w:hint="eastAsia" w:ascii="仿宋_GB2312" w:eastAsia="仿宋_GB2312"/>
          <w:color w:val="000000"/>
          <w:kern w:val="0"/>
          <w:sz w:val="32"/>
          <w:szCs w:val="32"/>
          <w:lang w:val="en-US" w:eastAsia="zh-CN"/>
        </w:rPr>
        <w:t>增长</w:t>
      </w:r>
      <w:r>
        <w:rPr>
          <w:rFonts w:hint="eastAsia" w:ascii="仿宋_GB2312" w:eastAsia="仿宋_GB2312"/>
          <w:color w:val="000000"/>
          <w:kern w:val="0"/>
          <w:sz w:val="32"/>
          <w:szCs w:val="32"/>
        </w:rPr>
        <w:t>7.3%</w:t>
      </w:r>
      <w:r>
        <w:rPr>
          <w:rFonts w:hint="eastAsia" w:ascii="仿宋_GB2312" w:eastAsia="仿宋_GB2312"/>
          <w:color w:val="000000"/>
          <w:kern w:val="0"/>
          <w:sz w:val="32"/>
          <w:szCs w:val="32"/>
          <w:lang w:eastAsia="zh-CN"/>
        </w:rPr>
        <w:t>，</w:t>
      </w:r>
      <w:r>
        <w:rPr>
          <w:rFonts w:hint="eastAsia" w:ascii="仿宋_GB2312" w:eastAsia="仿宋_GB2312"/>
          <w:color w:val="000000"/>
          <w:kern w:val="0"/>
          <w:sz w:val="32"/>
          <w:szCs w:val="32"/>
          <w:lang w:val="en-US" w:eastAsia="zh-CN"/>
        </w:rPr>
        <w:t>城镇、农村居民人均可支配收入分别达到47179元、25207元。</w:t>
      </w:r>
      <w:r>
        <w:rPr>
          <w:rFonts w:hint="eastAsia" w:ascii="仿宋_GB2312" w:eastAsia="仿宋_GB2312"/>
          <w:color w:val="000000"/>
          <w:kern w:val="0"/>
          <w:sz w:val="32"/>
          <w:szCs w:val="32"/>
        </w:rPr>
        <w:t>金融机构存款余额</w:t>
      </w:r>
      <w:r>
        <w:rPr>
          <w:rFonts w:hint="eastAsia" w:ascii="仿宋_GB2312" w:eastAsia="仿宋_GB2312"/>
          <w:color w:val="000000"/>
          <w:kern w:val="0"/>
          <w:sz w:val="32"/>
          <w:szCs w:val="32"/>
          <w:lang w:val="en-US" w:eastAsia="zh-CN"/>
        </w:rPr>
        <w:t>586.75</w:t>
      </w:r>
      <w:r>
        <w:rPr>
          <w:rFonts w:hint="eastAsia" w:ascii="仿宋_GB2312" w:eastAsia="仿宋_GB2312"/>
          <w:color w:val="000000"/>
          <w:kern w:val="0"/>
          <w:sz w:val="32"/>
          <w:szCs w:val="32"/>
        </w:rPr>
        <w:t>亿元，比年初增加</w:t>
      </w:r>
      <w:r>
        <w:rPr>
          <w:rFonts w:hint="eastAsia" w:ascii="仿宋_GB2312" w:eastAsia="仿宋_GB2312"/>
          <w:color w:val="000000"/>
          <w:kern w:val="0"/>
          <w:sz w:val="32"/>
          <w:szCs w:val="32"/>
          <w:lang w:val="en-US" w:eastAsia="zh-CN"/>
        </w:rPr>
        <w:t>59.9</w:t>
      </w:r>
      <w:r>
        <w:rPr>
          <w:rFonts w:hint="eastAsia" w:ascii="仿宋_GB2312" w:eastAsia="仿宋_GB2312"/>
          <w:color w:val="000000"/>
          <w:kern w:val="0"/>
          <w:sz w:val="32"/>
          <w:szCs w:val="32"/>
        </w:rPr>
        <w:t>亿元</w:t>
      </w:r>
      <w:r>
        <w:rPr>
          <w:rFonts w:hint="eastAsia" w:ascii="仿宋_GB2312" w:eastAsia="仿宋_GB2312"/>
          <w:color w:val="000000"/>
          <w:kern w:val="0"/>
          <w:sz w:val="32"/>
          <w:szCs w:val="32"/>
          <w:lang w:eastAsia="zh-CN"/>
        </w:rPr>
        <w:t>，</w:t>
      </w:r>
      <w:r>
        <w:rPr>
          <w:rFonts w:hint="eastAsia" w:ascii="仿宋_GB2312" w:eastAsia="仿宋_GB2312"/>
          <w:color w:val="000000"/>
          <w:kern w:val="0"/>
          <w:sz w:val="32"/>
          <w:szCs w:val="32"/>
        </w:rPr>
        <w:t>增长</w:t>
      </w:r>
      <w:r>
        <w:rPr>
          <w:rFonts w:hint="eastAsia" w:ascii="仿宋_GB2312" w:eastAsia="仿宋_GB2312"/>
          <w:color w:val="000000"/>
          <w:kern w:val="0"/>
          <w:sz w:val="32"/>
          <w:szCs w:val="32"/>
          <w:lang w:val="en-US" w:eastAsia="zh-CN"/>
        </w:rPr>
        <w:t>11.37</w:t>
      </w:r>
      <w:r>
        <w:rPr>
          <w:rFonts w:hint="eastAsia" w:ascii="仿宋_GB2312" w:eastAsia="仿宋_GB2312"/>
          <w:color w:val="000000"/>
          <w:kern w:val="0"/>
          <w:sz w:val="32"/>
          <w:szCs w:val="32"/>
        </w:rPr>
        <w:t>％；贷款余额</w:t>
      </w:r>
      <w:r>
        <w:rPr>
          <w:rFonts w:hint="eastAsia" w:ascii="仿宋_GB2312" w:eastAsia="仿宋_GB2312"/>
          <w:color w:val="000000"/>
          <w:kern w:val="0"/>
          <w:sz w:val="32"/>
          <w:szCs w:val="32"/>
          <w:lang w:val="en-US" w:eastAsia="zh-CN"/>
        </w:rPr>
        <w:t>突破400亿元，达到411.39</w:t>
      </w:r>
      <w:r>
        <w:rPr>
          <w:rFonts w:hint="eastAsia" w:ascii="仿宋_GB2312" w:eastAsia="仿宋_GB2312"/>
          <w:color w:val="000000"/>
          <w:kern w:val="0"/>
          <w:sz w:val="32"/>
          <w:szCs w:val="32"/>
        </w:rPr>
        <w:t>亿元，比年初增加</w:t>
      </w:r>
      <w:r>
        <w:rPr>
          <w:rFonts w:hint="eastAsia" w:ascii="仿宋_GB2312" w:eastAsia="仿宋_GB2312"/>
          <w:color w:val="000000"/>
          <w:kern w:val="0"/>
          <w:sz w:val="32"/>
          <w:szCs w:val="32"/>
          <w:lang w:val="en-US" w:eastAsia="zh-CN"/>
        </w:rPr>
        <w:t>67</w:t>
      </w:r>
      <w:r>
        <w:rPr>
          <w:rFonts w:hint="eastAsia" w:ascii="仿宋_GB2312" w:eastAsia="仿宋_GB2312"/>
          <w:color w:val="000000"/>
          <w:kern w:val="0"/>
          <w:sz w:val="32"/>
          <w:szCs w:val="32"/>
        </w:rPr>
        <w:t>亿元</w:t>
      </w:r>
      <w:r>
        <w:rPr>
          <w:rFonts w:hint="eastAsia" w:ascii="仿宋_GB2312" w:eastAsia="仿宋_GB2312"/>
          <w:color w:val="000000"/>
          <w:kern w:val="0"/>
          <w:sz w:val="32"/>
          <w:szCs w:val="32"/>
          <w:lang w:eastAsia="zh-CN"/>
        </w:rPr>
        <w:t>，</w:t>
      </w:r>
      <w:r>
        <w:rPr>
          <w:rFonts w:hint="eastAsia" w:ascii="仿宋_GB2312" w:eastAsia="仿宋_GB2312"/>
          <w:color w:val="000000"/>
          <w:kern w:val="0"/>
          <w:sz w:val="32"/>
          <w:szCs w:val="32"/>
        </w:rPr>
        <w:t>增长19.44％</w:t>
      </w:r>
      <w:r>
        <w:rPr>
          <w:rFonts w:hint="eastAsia" w:ascii="仿宋_GB2312" w:eastAsia="仿宋_GB2312"/>
          <w:color w:val="000000"/>
          <w:kern w:val="0"/>
          <w:sz w:val="32"/>
          <w:szCs w:val="32"/>
          <w:lang w:val="en-US" w:eastAsia="zh-CN"/>
        </w:rPr>
        <w:t>，</w:t>
      </w:r>
      <w:r>
        <w:rPr>
          <w:rFonts w:hint="eastAsia" w:ascii="仿宋_GB2312" w:eastAsia="仿宋_GB2312"/>
          <w:color w:val="000000"/>
          <w:kern w:val="0"/>
          <w:sz w:val="32"/>
          <w:szCs w:val="32"/>
        </w:rPr>
        <w:t>新增存贷比达到111.79％，新增贷款、新增存贷比均实现历史性突破。</w:t>
      </w:r>
      <w:r>
        <w:rPr>
          <w:rFonts w:hint="eastAsia" w:ascii="仿宋_GB2312" w:eastAsia="仿宋_GB2312"/>
          <w:color w:val="000000"/>
          <w:kern w:val="0"/>
          <w:sz w:val="32"/>
          <w:szCs w:val="32"/>
          <w:lang w:val="en-US" w:eastAsia="zh-CN"/>
        </w:rPr>
        <w:t>宁阳县被评为全省县域经济高质量发展先进县，为泰安历史上首个获评县市区；我县相继被评为全省现代农业强县、全省促进工业稳增长和转型升级成效明显县、山东省特色优势食品产业强县。</w:t>
      </w:r>
    </w:p>
    <w:p>
      <w:pPr>
        <w:pStyle w:val="10"/>
        <w:keepNext w:val="0"/>
        <w:keepLines w:val="0"/>
        <w:pageBreakBefore w:val="0"/>
        <w:widowControl w:val="0"/>
        <w:tabs>
          <w:tab w:val="left" w:pos="3438"/>
          <w:tab w:val="left" w:pos="4415"/>
        </w:tabs>
        <w:kinsoku/>
        <w:wordWrap/>
        <w:overflowPunct/>
        <w:topLinePunct w:val="0"/>
        <w:autoSpaceDE/>
        <w:autoSpaceDN/>
        <w:bidi w:val="0"/>
        <w:adjustRightInd/>
        <w:snapToGrid/>
        <w:spacing w:line="560" w:lineRule="exact"/>
        <w:ind w:right="0" w:firstLine="640" w:firstLineChars="200"/>
        <w:textAlignment w:val="auto"/>
        <w:rPr>
          <w:rFonts w:hint="eastAsia" w:ascii="楷体_GB2312" w:hAnsi="楷体_GB2312" w:eastAsia="楷体_GB2312"/>
          <w:color w:val="000000"/>
          <w:kern w:val="0"/>
          <w:sz w:val="32"/>
          <w:szCs w:val="32"/>
          <w:lang w:val="en-US" w:eastAsia="zh-CN" w:bidi="ar-SA"/>
        </w:rPr>
      </w:pPr>
      <w:r>
        <w:rPr>
          <w:rFonts w:hint="eastAsia" w:ascii="楷体_GB2312" w:hAnsi="楷体_GB2312" w:eastAsia="楷体_GB2312"/>
          <w:color w:val="000000"/>
          <w:kern w:val="0"/>
          <w:sz w:val="32"/>
          <w:szCs w:val="32"/>
          <w:lang w:val="en-US" w:eastAsia="zh-CN" w:bidi="ar-SA"/>
        </w:rPr>
        <w:t>（二）培育发展新质生产力，新型工业化强县建设成效明显。</w:t>
      </w:r>
      <w:r>
        <w:rPr>
          <w:rFonts w:hint="eastAsia" w:ascii="仿宋_GB2312" w:hAnsi="Times New Roman" w:eastAsia="仿宋_GB2312"/>
          <w:color w:val="000000"/>
          <w:kern w:val="0"/>
          <w:sz w:val="32"/>
          <w:szCs w:val="32"/>
          <w:lang w:val="en-US" w:eastAsia="zh-CN" w:bidi="ar-SA"/>
        </w:rPr>
        <w:t>紧紧抓住新型工业化这个总抓手，围绕构建“4+3+X”产业体系，深入实施“1510”骨干企业培植工程，16家骨干企业营收增幅达6%以上。宁阳化工产业园在全市率先完成扩区，并入选全省化工产业智能化改造标杆园区，全市唯一。绿色建材循环经济产业园成功入选全国绿色建材发展典型园区案例，全国仅9个案例入选；钢球工业园入选省级示范型数字经济园区，建成煤基精细化工和钢球“双产业大脑”，其中煤基精细化工产业大脑获评省级示范型产业大脑，全市唯一。超威（明德）电源入选工信部人工智能赋能新型工业化典型案例。恒信高科入选国家级实数融合典型案例，并获评国家级DCMM贯标，7家企业入选2024年省级DCMM贯标试点,22家企业入选第三批省级数字经济“晨星工厂”，入库企业达70家。恒信高科、圣奥化工入选省级工业互联网重点平台，华阳农药、恒信高科、云联钢球获评省级数字经济创新平台，彩山铝业产品获评“山东制造·齐鲁精品”，振挺精工获评第八批省级工业设计中心。泰乐源实现新三板挂牌，打破了我县10年未有新三板挂牌公司的局面。方特管业入选省新材料领军企业培育库企业、斯奈特入选2024年山东省公共实训基地项目名单，均实现零的突破。全年新增规上工业企业28家，总数达219家，规上工业增加值增长8.7%；工业营收总量进入全市前三，增幅连续17个月保持正增长；全年工业技改投资增长16%。</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firstLine="640" w:firstLineChars="200"/>
        <w:textAlignment w:val="auto"/>
        <w:rPr>
          <w:rFonts w:hint="eastAsia" w:ascii="楷体_GB2312" w:hAnsi="楷体_GB2312" w:eastAsia="楷体_GB2312"/>
          <w:color w:val="000000"/>
          <w:kern w:val="0"/>
          <w:sz w:val="32"/>
          <w:szCs w:val="32"/>
          <w:lang w:val="en-US" w:eastAsia="zh-CN" w:bidi="ar-SA"/>
        </w:rPr>
      </w:pPr>
      <w:r>
        <w:rPr>
          <w:rFonts w:hint="eastAsia" w:ascii="楷体_GB2312" w:hAnsi="楷体_GB2312" w:eastAsia="楷体_GB2312"/>
          <w:color w:val="000000"/>
          <w:kern w:val="0"/>
          <w:sz w:val="32"/>
          <w:szCs w:val="32"/>
          <w:lang w:val="en-US" w:eastAsia="zh-CN" w:bidi="ar-SA"/>
        </w:rPr>
        <w:t>（三）加力攻坚现代服务业，服务业发展提质增效。</w:t>
      </w:r>
      <w:r>
        <w:rPr>
          <w:rFonts w:hint="eastAsia" w:ascii="仿宋_GB2312" w:eastAsia="仿宋_GB2312"/>
          <w:color w:val="000000"/>
          <w:kern w:val="0"/>
          <w:sz w:val="32"/>
          <w:szCs w:val="32"/>
          <w:lang w:val="en-US" w:eastAsia="zh-CN"/>
        </w:rPr>
        <w:t>像抓工业一样抓服务业，加快构建“234”产业体系，现代服务业呈现发展提质、质量提效、水平提升良好态势。全县新增规上服务业企业21家、限上批零住餐单位65家。艺动力数字智能印刷等6个项目新增入选省现代服务业重点项目名单，宁阳数字经济集聚区等13个项目入选市级服务业重点项目，华阳绿洁、璞金检测成功入选市级生产性服务业领军企业。数字经济集聚区蓬勃发展，入选全国县域直播电商中心，典型经验成功入选全国县域直播电商中心典型案例集。全年新增电商店铺67家，衣柜电商产业带、蟋蟀电商产业带被认定为山东电商产业带，创儿乐科技、铮向商贸被认定为山东直播电商企业。物流创新破题起势，我县共签约物流与供应链项目6个，计划总投资36亿元，综合评审获得全市第二名。宁阳青山物流成为我县首家国家3A级物流企业，同时荣获省级三星级物流企业。积极推动消费品以旧换新，在全市率先出台促消费政策，举办省级新能源汽车百场下乡等活动60余场，拉动消费超亿元；举办“黄河大集”、第26届山东宁阳梨花节、月亮湾景区沙滩音乐节等节庆活动60余场，实现旅游综合收入5000余万元。文艺精品创作持续繁荣，我县文化艺术中心被评为2024年公共文化服务效能提升省级优秀组织单位，是全市唯一入选的县级单位。歌曲《泰山泰安》《湾湾快回家》荣获省级优秀文艺作品，文化艺术中心“木偶戏”荣获省级“百团汇演”优秀群众文艺团队，“国虫蟋蟀”文旅市集被评为首批“好客山东”文旅市集。</w:t>
      </w:r>
    </w:p>
    <w:p>
      <w:pPr>
        <w:pStyle w:val="10"/>
        <w:keepNext w:val="0"/>
        <w:keepLines w:val="0"/>
        <w:pageBreakBefore w:val="0"/>
        <w:widowControl w:val="0"/>
        <w:tabs>
          <w:tab w:val="left" w:pos="3438"/>
          <w:tab w:val="left" w:pos="4415"/>
        </w:tabs>
        <w:kinsoku/>
        <w:wordWrap/>
        <w:overflowPunct/>
        <w:topLinePunct w:val="0"/>
        <w:autoSpaceDE/>
        <w:autoSpaceDN/>
        <w:bidi w:val="0"/>
        <w:adjustRightInd/>
        <w:snapToGrid/>
        <w:spacing w:line="560" w:lineRule="exact"/>
        <w:ind w:right="0" w:firstLine="640" w:firstLineChars="200"/>
        <w:textAlignment w:val="auto"/>
        <w:rPr>
          <w:rFonts w:hint="eastAsia" w:ascii="楷体_GB2312" w:hAnsi="楷体_GB2312" w:eastAsia="楷体_GB2312"/>
          <w:color w:val="000000"/>
          <w:kern w:val="0"/>
          <w:sz w:val="32"/>
          <w:szCs w:val="32"/>
          <w:lang w:val="en-US" w:eastAsia="zh-CN" w:bidi="ar-SA"/>
        </w:rPr>
      </w:pPr>
      <w:r>
        <w:rPr>
          <w:rFonts w:hint="eastAsia" w:ascii="楷体_GB2312" w:hAnsi="楷体_GB2312" w:eastAsia="楷体_GB2312"/>
          <w:color w:val="000000"/>
          <w:kern w:val="0"/>
          <w:sz w:val="32"/>
          <w:szCs w:val="32"/>
          <w:lang w:val="en-US" w:eastAsia="zh-CN" w:bidi="ar-SA"/>
        </w:rPr>
        <w:t>（四）狠抓招商引资和项目建设，经济发展后劲明显增强。</w:t>
      </w:r>
      <w:r>
        <w:rPr>
          <w:rFonts w:hint="eastAsia" w:ascii="仿宋_GB2312" w:hAnsi="Times New Roman" w:eastAsia="仿宋_GB2312"/>
          <w:color w:val="000000"/>
          <w:kern w:val="0"/>
          <w:sz w:val="32"/>
          <w:szCs w:val="32"/>
          <w:lang w:val="en-US" w:eastAsia="zh-CN" w:bidi="ar-SA"/>
        </w:rPr>
        <w:t>把招商引资和项目建设作为经济工作的“龙头老大”，全年新签约备案项目153个；组织参加泰安市“项目签约大比拼”活动，其中一、三、四季度分别列全市第二、第二、第三名。严格执行县委常委会会议第二项议题研究经济工作制度，实行县级领导、部门和责任单位共同包保，构建起重点项目分层次管理推进机制。全年共策划重点项目539个，入选全市重点策划项目库173个，数量居全市第三；在泰安市项目策划大比拼中获8金6银7铜。2024年省市重点项目季度监测一季度全市第一、二季度第二、三季度第一、四季度第二。建立“策划、签约、促开工、促竣工”四张清单，全链条推进项目建设。每个项目拉出手续办理台账。建立“县级干部+包保部门+责任单位”包保项目制度，对项目建设全程包保，强力推进项目建设。41个项目进入省市重点项目名单，为历史最多。下半年全市重点项目观摩，项目得分获得第二名历史最好成绩。韩伟蛋制品深加工等304个项目开工建设，辰信基础零部件等112个项目竣工投产。我县项目建设经验做法在山东电视台、泰安电视台作了专题报道。对上争取实现历史性突破。全年共争取到位各类无偿资金38.2亿元，比上年增加4.1亿元，增幅达到12%。成功争取18个项目获批中央、省预算内资金3.7亿元，全市第二。大屯村避险搬迁项目获得国家支持1亿元，为近年来争取单项资金最高的项目。</w:t>
      </w:r>
    </w:p>
    <w:p>
      <w:pPr>
        <w:pStyle w:val="10"/>
        <w:keepNext w:val="0"/>
        <w:keepLines w:val="0"/>
        <w:pageBreakBefore w:val="0"/>
        <w:widowControl w:val="0"/>
        <w:tabs>
          <w:tab w:val="left" w:pos="8209"/>
          <w:tab w:val="left" w:pos="8688"/>
          <w:tab w:val="left" w:pos="8990"/>
        </w:tabs>
        <w:kinsoku/>
        <w:wordWrap/>
        <w:overflowPunct/>
        <w:topLinePunct w:val="0"/>
        <w:autoSpaceDE/>
        <w:autoSpaceDN/>
        <w:bidi w:val="0"/>
        <w:adjustRightInd/>
        <w:snapToGrid/>
        <w:spacing w:line="560" w:lineRule="exact"/>
        <w:ind w:right="0" w:firstLine="640" w:firstLineChars="200"/>
        <w:textAlignment w:val="auto"/>
        <w:rPr>
          <w:rFonts w:hint="eastAsia" w:ascii="楷体_GB2312" w:hAnsi="仿宋_GB2312" w:eastAsia="楷体_GB2312"/>
          <w:color w:val="000000"/>
          <w:kern w:val="0"/>
          <w:sz w:val="32"/>
          <w:szCs w:val="32"/>
        </w:rPr>
      </w:pPr>
      <w:r>
        <w:rPr>
          <w:rFonts w:hint="eastAsia" w:ascii="楷体_GB2312" w:hAnsi="仿宋_GB2312" w:eastAsia="楷体_GB2312"/>
          <w:color w:val="000000"/>
          <w:kern w:val="0"/>
          <w:sz w:val="32"/>
          <w:szCs w:val="32"/>
        </w:rPr>
        <w:t>（</w:t>
      </w:r>
      <w:r>
        <w:rPr>
          <w:rFonts w:hint="eastAsia" w:ascii="楷体_GB2312" w:hAnsi="仿宋_GB2312" w:eastAsia="楷体_GB2312"/>
          <w:color w:val="000000"/>
          <w:kern w:val="0"/>
          <w:sz w:val="32"/>
          <w:szCs w:val="32"/>
          <w:lang w:val="en-US" w:eastAsia="zh-CN"/>
        </w:rPr>
        <w:t>五</w:t>
      </w:r>
      <w:r>
        <w:rPr>
          <w:rFonts w:hint="eastAsia" w:ascii="楷体_GB2312" w:hAnsi="仿宋_GB2312" w:eastAsia="楷体_GB2312"/>
          <w:color w:val="000000"/>
          <w:kern w:val="0"/>
          <w:sz w:val="32"/>
          <w:szCs w:val="32"/>
        </w:rPr>
        <w:t>）提升城乡融合水平，乡村振兴</w:t>
      </w:r>
      <w:r>
        <w:rPr>
          <w:rFonts w:hint="eastAsia" w:ascii="楷体_GB2312" w:hAnsi="仿宋_GB2312" w:eastAsia="楷体_GB2312"/>
          <w:color w:val="000000"/>
          <w:kern w:val="0"/>
          <w:sz w:val="32"/>
          <w:szCs w:val="32"/>
          <w:lang w:eastAsia="zh-CN"/>
        </w:rPr>
        <w:t>有序推进</w:t>
      </w:r>
      <w:r>
        <w:rPr>
          <w:rFonts w:hint="eastAsia" w:ascii="楷体_GB2312" w:hAnsi="仿宋_GB2312" w:eastAsia="楷体_GB2312"/>
          <w:color w:val="000000"/>
          <w:kern w:val="0"/>
          <w:sz w:val="32"/>
          <w:szCs w:val="32"/>
        </w:rPr>
        <w:t>。</w:t>
      </w:r>
      <w:r>
        <w:rPr>
          <w:rFonts w:hint="eastAsia" w:ascii="仿宋_GB2312" w:hAnsi="Times New Roman" w:eastAsia="仿宋_GB2312"/>
          <w:color w:val="000000"/>
          <w:kern w:val="0"/>
          <w:sz w:val="32"/>
          <w:szCs w:val="32"/>
          <w:lang w:val="en-US" w:eastAsia="zh-CN" w:bidi="ar-SA"/>
        </w:rPr>
        <w:t>实施乡村振兴“1030”攻坚行动，46个村累计确定197个产业发展项目和基础设施提升项目。扛牢粮食安全生产责任，深入推进2个十万亩新时代汶阳田建设，全县粮食播种面积、产量、单产分别为128.86万亩、62.35万吨、484公斤/亩。持续壮大乡村产业，完善占地3000亩的现代食品产业园基础设施，全县规上农产品加工企业达到41家，营业收入75.22亿元、同比增长5.7%。梯级培养农业龙头企业，省市级龙头企业分别达到8家、68家。</w:t>
      </w:r>
      <w:r>
        <w:rPr>
          <w:rFonts w:ascii="仿宋_GB2312" w:hAnsi="Times New Roman" w:eastAsia="仿宋_GB2312"/>
          <w:color w:val="000000"/>
          <w:kern w:val="0"/>
          <w:sz w:val="32"/>
          <w:szCs w:val="32"/>
          <w:lang w:val="en-US" w:eastAsia="zh-CN" w:bidi="ar-SA"/>
        </w:rPr>
        <w:t>我县拥有“三品一标”农产品</w:t>
      </w:r>
      <w:r>
        <w:rPr>
          <w:rFonts w:hint="eastAsia" w:ascii="仿宋_GB2312" w:hAnsi="Times New Roman" w:eastAsia="仿宋_GB2312"/>
          <w:color w:val="000000"/>
          <w:kern w:val="0"/>
          <w:sz w:val="32"/>
          <w:szCs w:val="32"/>
          <w:lang w:val="en-US" w:eastAsia="zh-CN" w:bidi="ar-SA"/>
        </w:rPr>
        <w:t>135</w:t>
      </w:r>
      <w:r>
        <w:rPr>
          <w:rFonts w:ascii="仿宋_GB2312" w:hAnsi="Times New Roman" w:eastAsia="仿宋_GB2312"/>
          <w:color w:val="000000"/>
          <w:kern w:val="0"/>
          <w:sz w:val="32"/>
          <w:szCs w:val="32"/>
          <w:lang w:val="en-US" w:eastAsia="zh-CN" w:bidi="ar-SA"/>
        </w:rPr>
        <w:t>个</w:t>
      </w:r>
      <w:r>
        <w:rPr>
          <w:rFonts w:hint="eastAsia" w:ascii="仿宋_GB2312" w:hAnsi="Times New Roman" w:eastAsia="仿宋_GB2312"/>
          <w:color w:val="000000"/>
          <w:kern w:val="0"/>
          <w:sz w:val="32"/>
          <w:szCs w:val="32"/>
          <w:lang w:val="en-US" w:eastAsia="zh-CN" w:bidi="ar-SA"/>
        </w:rPr>
        <w:t>。“周家吊桥绿豆粉皮”“宁阳黄姜”“乡饮大粉皮”“许家桥大白菜”4个产品入选全国2024年第一、第二批农耕农品记忆索引名录。巴夫巴夫、正大养殖场2家单位入选第二批省级生态农场，省级生态农场总数达到4家。深化“四清三化”行动，开展以“乡村绿化”“农机具集中存放”为重点的乡村建设“十大行动”，打造三季有花、四季常绿的“花园式”村庄15个，我县3个村荣获省级和美乡村。洸府河评定为水利部淮委淮河流域幸福河湖，海子河入选全省第一批美丽河湖优秀案例。新能源充电基础设施提前1年实现乡乡全覆盖。新建城区供水管网5.5公里，完成大地印刷厂、邢庄建筑公司家属院、建筑设计院等337户“一户一表、终端服务”改造工作，更新老旧燃气管网12.5公里，新开通管道燃气小区6个、用户300余户，新建供热管网5公里，新增城区清洁取暖面积20万平方米，改造老旧管网6公里，新建再生水提升泵站1座、中水管网5公里，完成华兴大道西侧2公里污水管网建设。</w:t>
      </w:r>
    </w:p>
    <w:p>
      <w:pPr>
        <w:keepNext w:val="0"/>
        <w:keepLines w:val="0"/>
        <w:pageBreakBefore w:val="0"/>
        <w:kinsoku/>
        <w:wordWrap/>
        <w:overflowPunct/>
        <w:topLinePunct w:val="0"/>
        <w:autoSpaceDE/>
        <w:autoSpaceDN/>
        <w:bidi w:val="0"/>
        <w:adjustRightInd/>
        <w:snapToGrid w:val="0"/>
        <w:spacing w:line="560" w:lineRule="exact"/>
        <w:ind w:right="0" w:firstLine="640" w:firstLineChars="200"/>
        <w:textAlignment w:val="auto"/>
        <w:rPr>
          <w:rFonts w:hint="eastAsia" w:ascii="楷体_GB2312" w:hAnsi="仿宋_GB2312" w:eastAsia="楷体_GB2312"/>
          <w:color w:val="000000"/>
          <w:kern w:val="0"/>
          <w:sz w:val="32"/>
          <w:szCs w:val="32"/>
        </w:rPr>
      </w:pPr>
      <w:r>
        <w:rPr>
          <w:rFonts w:hint="eastAsia" w:ascii="楷体_GB2312" w:hAnsi="仿宋_GB2312" w:eastAsia="楷体_GB2312"/>
          <w:color w:val="000000"/>
          <w:kern w:val="0"/>
          <w:sz w:val="32"/>
          <w:szCs w:val="32"/>
        </w:rPr>
        <w:t>（</w:t>
      </w:r>
      <w:r>
        <w:rPr>
          <w:rFonts w:hint="eastAsia" w:ascii="楷体_GB2312" w:hAnsi="仿宋_GB2312" w:eastAsia="楷体_GB2312"/>
          <w:color w:val="000000"/>
          <w:kern w:val="0"/>
          <w:sz w:val="32"/>
          <w:szCs w:val="32"/>
          <w:lang w:val="en-US" w:eastAsia="zh-CN"/>
        </w:rPr>
        <w:t>六</w:t>
      </w:r>
      <w:r>
        <w:rPr>
          <w:rFonts w:hint="eastAsia" w:ascii="楷体_GB2312" w:hAnsi="仿宋_GB2312" w:eastAsia="楷体_GB2312"/>
          <w:color w:val="000000"/>
          <w:kern w:val="0"/>
          <w:sz w:val="32"/>
          <w:szCs w:val="32"/>
        </w:rPr>
        <w:t>）深化改革扩大开放，发展动力活力持续增强。</w:t>
      </w:r>
      <w:r>
        <w:rPr>
          <w:rFonts w:hint="eastAsia" w:ascii="仿宋_GB2312" w:eastAsia="仿宋_GB2312"/>
          <w:color w:val="000000"/>
          <w:kern w:val="0"/>
          <w:sz w:val="32"/>
          <w:szCs w:val="32"/>
          <w:lang w:val="en-US" w:eastAsia="zh-CN"/>
        </w:rPr>
        <w:t>持续推进“高效办成一件事”改革，13个国定“一件事”实现线上线下顺畅运行，确定12项宁阳县“高效办成一件事”重点事项并持续推进。起草编制《“园区事园区办”工作规范指引》，创新打造化工园区项目投产服务“一件事”，办事材料精简至19项，办理时限压缩至30个工作日，办理环节简化至3个，实现化工园区项目“竣工即投产”。推进“互联网＋公共资源交易”模式，深化跨域合作，推动远程异地评标常态化，开展远程异地评标项目458场次，开展数量位居全市第一。我县“信易贷”平台累计入驻企业598家，成功授信831笔，授信金额达到55.8亿元。大力推进国企“两减一降”专项行动，成立金融工作专班，联合金融机构、县属企业建立“政银企”项目协商推进长效机制，助力国企发展，我县被命名为全省县级国资国企改革深化提升行动创新实践基地。深入开展闲置资产盘活攻坚行动，成功招引滕州鲁华农副产品物流中心入驻运营中京优鲜达农批物流园，完成达生粮食公司股权收购。2024年，48家企业获评国家高新技术企业，全县高新技术企业总量达到95家，129家企业入库国家科技型中小企业，成功认定国家级专精特新“小巨人”企业1家，省级单项冠军1家，省级“专精特新”中小企业23家，省级创新型中小企业31家，</w:t>
      </w:r>
      <w:r>
        <w:rPr>
          <w:rFonts w:hint="eastAsia" w:ascii="仿宋_GB2312" w:eastAsia="仿宋_GB2312"/>
          <w:color w:val="000000"/>
          <w:kern w:val="0"/>
          <w:sz w:val="32"/>
          <w:szCs w:val="32"/>
        </w:rPr>
        <w:t>省级科技成果转化中试示范基地1家</w:t>
      </w:r>
      <w:r>
        <w:rPr>
          <w:rFonts w:hint="eastAsia" w:ascii="仿宋_GB2312" w:eastAsia="仿宋_GB2312"/>
          <w:color w:val="000000"/>
          <w:kern w:val="0"/>
          <w:sz w:val="32"/>
          <w:szCs w:val="32"/>
          <w:lang w:eastAsia="zh-CN"/>
        </w:rPr>
        <w:t>，</w:t>
      </w:r>
      <w:r>
        <w:rPr>
          <w:rFonts w:hint="eastAsia" w:ascii="仿宋_GB2312" w:eastAsia="仿宋_GB2312"/>
          <w:color w:val="000000"/>
          <w:kern w:val="0"/>
          <w:sz w:val="32"/>
          <w:szCs w:val="32"/>
          <w:lang w:val="en-US" w:eastAsia="zh-CN"/>
        </w:rPr>
        <w:t>省级瞪羚企业4家，省、市级“一企一技术”研发中心11家，</w:t>
      </w:r>
      <w:r>
        <w:rPr>
          <w:rFonts w:hint="eastAsia" w:ascii="仿宋_GB2312" w:eastAsia="仿宋_GB2312"/>
          <w:color w:val="000000"/>
          <w:kern w:val="0"/>
          <w:sz w:val="32"/>
          <w:szCs w:val="32"/>
        </w:rPr>
        <w:t>市级技术创新中心10家；</w:t>
      </w:r>
      <w:r>
        <w:rPr>
          <w:rFonts w:hint="eastAsia" w:ascii="仿宋_GB2312" w:eastAsia="仿宋_GB2312"/>
          <w:color w:val="000000"/>
          <w:kern w:val="0"/>
          <w:sz w:val="32"/>
          <w:szCs w:val="32"/>
          <w:lang w:val="en-US" w:eastAsia="zh-CN"/>
        </w:rPr>
        <w:t>高端装备产业集群被山东省认定为省级特色产业集群。更大力度推进对外开放，鼓励支持亚荣、天源、新合源等企业海外投资建厂，全年新增外贸货权企业32家、实绩企业20家、跨境电商企业9家。积极开拓新兴国际市场，“一带一路”沿线国家出口额增长25%以上，外贸进出口总额同比增长31.5%。民营经济活力加速释放，民间投资占比达到80.4%。成功举办国家级工业领域绿色发展大会，《创新“四力”  提升“四度”  践行“全周期”服务助企提质增效》入选工信部典型案例。</w:t>
      </w:r>
    </w:p>
    <w:p>
      <w:pPr>
        <w:pStyle w:val="10"/>
        <w:keepNext w:val="0"/>
        <w:keepLines w:val="0"/>
        <w:pageBreakBefore w:val="0"/>
        <w:widowControl w:val="0"/>
        <w:tabs>
          <w:tab w:val="left" w:pos="1075"/>
          <w:tab w:val="left" w:pos="2473"/>
          <w:tab w:val="left" w:pos="6409"/>
        </w:tabs>
        <w:kinsoku/>
        <w:wordWrap/>
        <w:overflowPunct/>
        <w:topLinePunct w:val="0"/>
        <w:autoSpaceDE/>
        <w:autoSpaceDN/>
        <w:bidi w:val="0"/>
        <w:adjustRightInd/>
        <w:snapToGrid/>
        <w:spacing w:line="560" w:lineRule="exact"/>
        <w:ind w:right="0" w:firstLine="640" w:firstLineChars="200"/>
        <w:textAlignment w:val="auto"/>
        <w:rPr>
          <w:rFonts w:hint="eastAsia" w:ascii="楷体_GB2312" w:hAnsi="仿宋_GB2312" w:eastAsia="楷体_GB2312"/>
          <w:color w:val="000000"/>
          <w:kern w:val="0"/>
          <w:sz w:val="32"/>
          <w:szCs w:val="32"/>
        </w:rPr>
      </w:pPr>
      <w:r>
        <w:rPr>
          <w:rFonts w:hint="eastAsia" w:ascii="楷体_GB2312" w:hAnsi="仿宋_GB2312" w:eastAsia="楷体_GB2312"/>
          <w:color w:val="000000"/>
          <w:kern w:val="0"/>
          <w:sz w:val="32"/>
          <w:szCs w:val="32"/>
        </w:rPr>
        <w:t>（</w:t>
      </w:r>
      <w:r>
        <w:rPr>
          <w:rFonts w:hint="eastAsia" w:ascii="楷体_GB2312" w:hAnsi="仿宋_GB2312" w:eastAsia="楷体_GB2312"/>
          <w:color w:val="000000"/>
          <w:kern w:val="0"/>
          <w:sz w:val="32"/>
          <w:szCs w:val="32"/>
          <w:lang w:val="en-US" w:eastAsia="zh-CN"/>
        </w:rPr>
        <w:t>七</w:t>
      </w:r>
      <w:r>
        <w:rPr>
          <w:rFonts w:hint="eastAsia" w:ascii="楷体_GB2312" w:hAnsi="仿宋_GB2312" w:eastAsia="楷体_GB2312"/>
          <w:color w:val="000000"/>
          <w:kern w:val="0"/>
          <w:sz w:val="32"/>
          <w:szCs w:val="32"/>
        </w:rPr>
        <w:t>）坚持以人民为中心，</w:t>
      </w:r>
      <w:r>
        <w:rPr>
          <w:rFonts w:hint="eastAsia" w:ascii="楷体_GB2312" w:hAnsi="仿宋_GB2312" w:eastAsia="楷体_GB2312"/>
          <w:color w:val="000000"/>
          <w:kern w:val="0"/>
          <w:sz w:val="32"/>
          <w:szCs w:val="32"/>
          <w:lang w:val="en-US" w:eastAsia="zh-CN"/>
        </w:rPr>
        <w:t>社会事业全面进步</w:t>
      </w:r>
      <w:r>
        <w:rPr>
          <w:rFonts w:hint="eastAsia" w:ascii="楷体_GB2312" w:hAnsi="仿宋_GB2312" w:eastAsia="楷体_GB2312"/>
          <w:color w:val="000000"/>
          <w:kern w:val="0"/>
          <w:sz w:val="32"/>
          <w:szCs w:val="32"/>
        </w:rPr>
        <w:t>。</w:t>
      </w:r>
      <w:r>
        <w:rPr>
          <w:rFonts w:hint="eastAsia" w:ascii="仿宋_GB2312" w:hAnsi="Times New Roman" w:eastAsia="仿宋_GB2312"/>
          <w:color w:val="000000"/>
          <w:kern w:val="0"/>
          <w:sz w:val="32"/>
          <w:szCs w:val="32"/>
          <w:lang w:val="en-US" w:eastAsia="zh-CN" w:bidi="ar-SA"/>
        </w:rPr>
        <w:t>民生支出44.69亿元，占一般公共预算支出的87.24%。稳妥做好高校毕业生、农民工等重点群体就业创业，城乡公益性岗位新安置1057人，按时足额为近万名在岗人员发放补贴10937万元。深入实施“人才强县”战略，着力打响“就选宁阳职等你来”人才服务品牌。完成2024年青年人才(第三批)引进工作，其中1名博士、200名硕士。教育事业蓬勃发展，“双创”工作实现突破。投入3000余万元改善办学条件，有序整合小学、幼儿园47处，公开选聘216名乡镇教师到城区学校，招引人才136人，81个义务教育薄弱环节改善与能力提升项目实现全部开工和竣工；成功创建为国家学前教育普及普惠县，国家义务教育优质均衡发展县创建顺利通过省级督导评估进入国家认定名单。我县入选全省职业教育改革发展成效明显县，宁阳县第一中学入选山东省第二批省级特色高中。卫生体系不断完善，我县上半年国家基本公共卫生服务项目绩效评价全市第一；创建市级临床重点学科4个，其中县一院3个、县二院1个。</w:t>
      </w:r>
      <w:bookmarkStart w:id="0" w:name="_Hlk154673082"/>
      <w:r>
        <w:rPr>
          <w:rFonts w:hint="eastAsia" w:ascii="仿宋_GB2312" w:hAnsi="Times New Roman" w:eastAsia="仿宋_GB2312"/>
          <w:color w:val="000000"/>
          <w:kern w:val="0"/>
          <w:sz w:val="32"/>
          <w:szCs w:val="32"/>
          <w:lang w:val="en-US" w:eastAsia="zh-CN" w:bidi="ar-SA"/>
        </w:rPr>
        <w:t>全县幸福食堂达到36处。</w:t>
      </w:r>
      <w:bookmarkEnd w:id="0"/>
      <w:r>
        <w:rPr>
          <w:rFonts w:hint="eastAsia" w:ascii="仿宋_GB2312" w:hAnsi="Times New Roman" w:eastAsia="仿宋_GB2312"/>
          <w:color w:val="000000"/>
          <w:kern w:val="0"/>
          <w:sz w:val="32"/>
          <w:szCs w:val="32"/>
          <w:lang w:val="en-US" w:eastAsia="zh-CN" w:bidi="ar-SA"/>
        </w:rPr>
        <w:t>连续四年实施大病商业补充医疗保险，已累计补助1841人次，赔付金额2173.23万元。城市居民最低生活保障、农村居民最低生活保障等困难群众救助保障标准明显提高。落实发放80-89周岁高龄老年人生活补贴，累计发放各类困难群众救助、补助资金2.2亿元。推进惠民殡葬和丧俗改革，在全市率先实现殡葬火化环节全流程免费服务，工作经验在《山东改革》《山东新闻联播》报道。高标准开展拥军优属，继续实行“阳光安置”，连续三年提供100%事业单位安置岗位。救人英雄王龙、栾留伟被省政府评定为烈士，入选全国见义勇为勇士榜。严格落实安全生产“四主责任”，印发《全县安全生产治本攻坚三年行动实施方案》，明确29项重点任务，制定《2024年度重点工作清单》，“清单式”推进135项工作措施落实，全县安全生产形势持续稳定。坚持依法治县、依法执政、依法行政共同推进，深入开展“扫黑恶、打霸痞、除乱点、优环境”百日集中整治行动，社会更加安定和谐。广播电视、气象、消防、档案、民族宗教、老龄、工会、共青团、妇女儿童、残疾人等各项社会事业实现新发展。</w:t>
      </w:r>
    </w:p>
    <w:p>
      <w:pPr>
        <w:keepNext w:val="0"/>
        <w:keepLines w:val="0"/>
        <w:pageBreakBefore w:val="0"/>
        <w:kinsoku/>
        <w:wordWrap/>
        <w:overflowPunct/>
        <w:topLinePunct w:val="0"/>
        <w:autoSpaceDE/>
        <w:autoSpaceDN/>
        <w:bidi w:val="0"/>
        <w:adjustRightInd/>
        <w:snapToGrid/>
        <w:spacing w:line="560" w:lineRule="exact"/>
        <w:ind w:right="0" w:firstLine="640"/>
        <w:jc w:val="both"/>
        <w:textAlignment w:val="auto"/>
        <w:rPr>
          <w:rFonts w:hint="eastAsia" w:ascii="仿宋_GB2312" w:eastAsia="仿宋_GB2312"/>
          <w:color w:val="000000"/>
          <w:kern w:val="0"/>
          <w:sz w:val="32"/>
          <w:szCs w:val="32"/>
        </w:rPr>
      </w:pPr>
      <w:r>
        <w:rPr>
          <w:rFonts w:hint="eastAsia" w:ascii="仿宋_GB2312" w:eastAsia="仿宋_GB2312"/>
          <w:color w:val="000000"/>
          <w:kern w:val="0"/>
          <w:sz w:val="32"/>
          <w:szCs w:val="32"/>
        </w:rPr>
        <w:t>各位代表，202</w:t>
      </w:r>
      <w:r>
        <w:rPr>
          <w:rFonts w:hint="eastAsia" w:ascii="仿宋_GB2312" w:eastAsia="仿宋_GB2312"/>
          <w:color w:val="000000"/>
          <w:kern w:val="0"/>
          <w:sz w:val="32"/>
          <w:szCs w:val="32"/>
          <w:lang w:val="en-US" w:eastAsia="zh-CN"/>
        </w:rPr>
        <w:t>4</w:t>
      </w:r>
      <w:r>
        <w:rPr>
          <w:rFonts w:hint="eastAsia" w:ascii="仿宋_GB2312" w:eastAsia="仿宋_GB2312"/>
          <w:color w:val="000000"/>
          <w:kern w:val="0"/>
          <w:sz w:val="32"/>
          <w:szCs w:val="32"/>
        </w:rPr>
        <w:t>年全县经济社会事业各项</w:t>
      </w:r>
      <w:r>
        <w:rPr>
          <w:rFonts w:hint="eastAsia" w:ascii="仿宋_GB2312" w:eastAsia="仿宋_GB2312"/>
          <w:color w:val="000000"/>
          <w:kern w:val="0"/>
          <w:sz w:val="32"/>
          <w:szCs w:val="32"/>
          <w:lang w:val="en-US" w:eastAsia="zh-CN"/>
        </w:rPr>
        <w:t>成绩的取得，得益于县委的坚强领导、科学决策，得益于县人大、县政协的有效监督、鼎力支持，得益于各位企业家承压奋进、服务社会，得益于全县人民群策群力、顽强拼搏。在充分肯定成绩的同时，也要清醒地认识到，我县仍然处于负重前行、爬坡过坎的关键时期，受国内国际形势影响，部分行业承压明显;大个头项目还不多，要素制约问题仍然存在，产业层次、规模体量有待进一步提升;民生事业还有短板;各类风险化解依然面临压力，社会治理体系有待进一步完善。对此，将在今后的工作中认真加以解决。</w:t>
      </w:r>
    </w:p>
    <w:p>
      <w:pPr>
        <w:keepNext w:val="0"/>
        <w:keepLines w:val="0"/>
        <w:pageBreakBefore w:val="0"/>
        <w:kinsoku/>
        <w:wordWrap/>
        <w:overflowPunct/>
        <w:topLinePunct w:val="0"/>
        <w:autoSpaceDE/>
        <w:autoSpaceDN/>
        <w:bidi w:val="0"/>
        <w:adjustRightInd/>
        <w:snapToGrid/>
        <w:spacing w:line="560" w:lineRule="exact"/>
        <w:ind w:right="0" w:firstLine="640"/>
        <w:jc w:val="both"/>
        <w:textAlignment w:val="auto"/>
        <w:rPr>
          <w:rFonts w:hint="eastAsia" w:ascii="黑体" w:eastAsia="黑体"/>
          <w:color w:val="000000"/>
          <w:kern w:val="0"/>
          <w:sz w:val="32"/>
          <w:szCs w:val="32"/>
        </w:rPr>
      </w:pPr>
      <w:r>
        <w:rPr>
          <w:rFonts w:hint="eastAsia" w:ascii="黑体" w:eastAsia="黑体"/>
          <w:color w:val="000000"/>
          <w:kern w:val="0"/>
          <w:sz w:val="32"/>
          <w:szCs w:val="32"/>
        </w:rPr>
        <w:t>二、202</w:t>
      </w:r>
      <w:r>
        <w:rPr>
          <w:rFonts w:hint="eastAsia" w:ascii="黑体" w:eastAsia="黑体"/>
          <w:color w:val="000000"/>
          <w:kern w:val="0"/>
          <w:sz w:val="32"/>
          <w:szCs w:val="32"/>
          <w:lang w:val="en-US" w:eastAsia="zh-CN"/>
        </w:rPr>
        <w:t>5</w:t>
      </w:r>
      <w:r>
        <w:rPr>
          <w:rFonts w:hint="eastAsia" w:ascii="黑体" w:eastAsia="黑体"/>
          <w:color w:val="000000"/>
          <w:kern w:val="0"/>
          <w:sz w:val="32"/>
          <w:szCs w:val="32"/>
        </w:rPr>
        <w:t>年国民经济和社会发展的总体目标要求</w:t>
      </w:r>
    </w:p>
    <w:p>
      <w:pPr>
        <w:keepNext w:val="0"/>
        <w:keepLines w:val="0"/>
        <w:pageBreakBefore w:val="0"/>
        <w:widowControl/>
        <w:suppressLineNumbers w:val="0"/>
        <w:kinsoku/>
        <w:wordWrap/>
        <w:overflowPunct/>
        <w:topLinePunct w:val="0"/>
        <w:autoSpaceDE/>
        <w:autoSpaceDN/>
        <w:bidi w:val="0"/>
        <w:adjustRightInd/>
        <w:snapToGrid/>
        <w:spacing w:line="560" w:lineRule="exact"/>
        <w:ind w:right="0" w:firstLine="640" w:firstLineChars="200"/>
        <w:jc w:val="both"/>
        <w:textAlignment w:val="auto"/>
        <w:rPr>
          <w:rFonts w:hint="eastAsia" w:ascii="仿宋_GB2312" w:eastAsia="仿宋_GB2312"/>
          <w:color w:val="000000"/>
          <w:kern w:val="0"/>
          <w:sz w:val="32"/>
          <w:szCs w:val="32"/>
        </w:rPr>
      </w:pPr>
      <w:r>
        <w:rPr>
          <w:rFonts w:hint="eastAsia" w:ascii="仿宋_GB2312" w:eastAsia="仿宋_GB2312"/>
          <w:color w:val="000000"/>
          <w:kern w:val="0"/>
          <w:sz w:val="32"/>
          <w:szCs w:val="32"/>
        </w:rPr>
        <w:t>202</w:t>
      </w:r>
      <w:r>
        <w:rPr>
          <w:rFonts w:hint="eastAsia" w:ascii="仿宋_GB2312" w:eastAsia="仿宋_GB2312"/>
          <w:color w:val="000000"/>
          <w:kern w:val="0"/>
          <w:sz w:val="32"/>
          <w:szCs w:val="32"/>
          <w:lang w:val="en-US" w:eastAsia="zh-CN"/>
        </w:rPr>
        <w:t>5</w:t>
      </w:r>
      <w:r>
        <w:rPr>
          <w:rFonts w:hint="eastAsia" w:ascii="仿宋_GB2312" w:eastAsia="仿宋_GB2312"/>
          <w:color w:val="000000"/>
          <w:kern w:val="0"/>
          <w:sz w:val="32"/>
          <w:szCs w:val="32"/>
        </w:rPr>
        <w:t>年</w:t>
      </w:r>
      <w:r>
        <w:rPr>
          <w:rFonts w:hint="eastAsia" w:ascii="仿宋_GB2312" w:eastAsia="仿宋_GB2312"/>
          <w:color w:val="000000"/>
          <w:kern w:val="0"/>
          <w:sz w:val="32"/>
          <w:szCs w:val="32"/>
          <w:lang w:val="en-US" w:eastAsia="zh-CN"/>
        </w:rPr>
        <w:t>是推动“十四五”规划收官决胜的关键一年，</w:t>
      </w:r>
      <w:r>
        <w:rPr>
          <w:rFonts w:hint="eastAsia" w:ascii="仿宋_GB2312" w:eastAsia="仿宋_GB2312"/>
          <w:color w:val="000000"/>
          <w:kern w:val="0"/>
          <w:sz w:val="32"/>
          <w:szCs w:val="32"/>
          <w:lang w:eastAsia="zh-CN"/>
        </w:rPr>
        <w:t>也是宁阳抢抓新机遇、塑造新优势的</w:t>
      </w:r>
      <w:r>
        <w:rPr>
          <w:rFonts w:hint="eastAsia" w:ascii="仿宋_GB2312" w:eastAsia="仿宋_GB2312"/>
          <w:color w:val="000000"/>
          <w:kern w:val="0"/>
          <w:sz w:val="32"/>
          <w:szCs w:val="32"/>
          <w:lang w:val="en-US" w:eastAsia="zh-CN"/>
        </w:rPr>
        <w:t>重要一年</w:t>
      </w:r>
      <w:r>
        <w:rPr>
          <w:rFonts w:hint="eastAsia" w:ascii="仿宋_GB2312" w:eastAsia="仿宋_GB2312"/>
          <w:color w:val="000000"/>
          <w:kern w:val="0"/>
          <w:sz w:val="32"/>
          <w:szCs w:val="32"/>
          <w:lang w:eastAsia="zh-CN"/>
        </w:rPr>
        <w:t>，</w:t>
      </w:r>
      <w:r>
        <w:rPr>
          <w:rFonts w:hint="eastAsia" w:ascii="仿宋_GB2312" w:eastAsia="仿宋_GB2312"/>
          <w:color w:val="000000"/>
          <w:kern w:val="0"/>
          <w:sz w:val="32"/>
          <w:szCs w:val="32"/>
        </w:rPr>
        <w:t>做好今年的各项工作意义重大。</w:t>
      </w:r>
      <w:r>
        <w:rPr>
          <w:rFonts w:hint="eastAsia" w:ascii="仿宋_GB2312" w:eastAsia="仿宋_GB2312"/>
          <w:color w:val="000000"/>
          <w:kern w:val="0"/>
          <w:sz w:val="32"/>
          <w:szCs w:val="32"/>
          <w:lang w:val="en-US" w:eastAsia="zh-CN"/>
        </w:rPr>
        <w:t>今年工作的总体思路是：</w:t>
      </w:r>
      <w:r>
        <w:rPr>
          <w:rFonts w:hint="eastAsia" w:ascii="黑体" w:hAnsi="黑体" w:eastAsia="黑体"/>
          <w:color w:val="000000"/>
          <w:sz w:val="32"/>
          <w:szCs w:val="32"/>
          <w:lang w:eastAsia="zh-CN"/>
        </w:rPr>
        <w:t>坚持以习近平新时代中国特色社会主义思想为指导，全面落实党的二十大和二十届二中、三中全会精神，深入贯彻习近平总书记对山东工作的重要指示要求，坚持稳中求进工作总基调，完整准确全面贯彻新发展理念，主动服务和融入新发展格局，坚持“123456”总体工作思路，按照“四个第一”“六个更加注重”要求，一张蓝图绘到底，强力推进培强产业、乡村振兴、民生保障等重点工作，着力提振消费、提高投资效益，切实防范化解重点领域风险隐患，推动经济持续稳健向好、进中提质，高质量完成“十四五”规划目标任务，加快建设新时代社会主义现代化强县。</w:t>
      </w:r>
    </w:p>
    <w:p>
      <w:pPr>
        <w:keepNext w:val="0"/>
        <w:keepLines w:val="0"/>
        <w:pageBreakBefore w:val="0"/>
        <w:widowControl/>
        <w:suppressLineNumbers w:val="0"/>
        <w:kinsoku/>
        <w:wordWrap/>
        <w:overflowPunct/>
        <w:topLinePunct w:val="0"/>
        <w:autoSpaceDE/>
        <w:autoSpaceDN/>
        <w:bidi w:val="0"/>
        <w:adjustRightInd/>
        <w:snapToGrid/>
        <w:spacing w:line="560" w:lineRule="exact"/>
        <w:ind w:right="0" w:firstLine="640" w:firstLineChars="200"/>
        <w:jc w:val="both"/>
        <w:textAlignment w:val="auto"/>
        <w:rPr>
          <w:rFonts w:hint="eastAsia" w:ascii="仿宋_GB2312" w:eastAsia="仿宋_GB2312"/>
          <w:color w:val="000000"/>
          <w:kern w:val="0"/>
          <w:sz w:val="32"/>
          <w:szCs w:val="32"/>
        </w:rPr>
      </w:pPr>
      <w:r>
        <w:rPr>
          <w:rFonts w:hint="eastAsia" w:ascii="仿宋_GB2312" w:eastAsia="仿宋_GB2312"/>
          <w:color w:val="000000"/>
          <w:kern w:val="0"/>
          <w:sz w:val="32"/>
          <w:szCs w:val="32"/>
        </w:rPr>
        <w:t>经过综合研究分析，全面考虑各方面因素，今年主要预期目标为：生产总值增长6%以上，一般公共预算收入增长5%，居民收入增长与经济增长同步，城镇新增就业完成目标任务，居民消费价格保持合理水平，完成上级下达的节能减排降碳约束性指标和环境质量改善目标。</w:t>
      </w:r>
    </w:p>
    <w:p>
      <w:pPr>
        <w:keepNext w:val="0"/>
        <w:keepLines w:val="0"/>
        <w:pageBreakBefore w:val="0"/>
        <w:kinsoku/>
        <w:wordWrap/>
        <w:overflowPunct/>
        <w:topLinePunct w:val="0"/>
        <w:autoSpaceDE/>
        <w:autoSpaceDN/>
        <w:bidi w:val="0"/>
        <w:adjustRightInd/>
        <w:snapToGrid/>
        <w:spacing w:line="560" w:lineRule="exact"/>
        <w:ind w:right="0" w:firstLine="640"/>
        <w:jc w:val="both"/>
        <w:textAlignment w:val="auto"/>
        <w:rPr>
          <w:rFonts w:hint="eastAsia" w:ascii="黑体" w:eastAsia="黑体"/>
          <w:color w:val="000000"/>
          <w:kern w:val="0"/>
          <w:sz w:val="32"/>
          <w:szCs w:val="32"/>
        </w:rPr>
      </w:pPr>
      <w:r>
        <w:rPr>
          <w:rFonts w:hint="eastAsia" w:ascii="黑体" w:eastAsia="黑体"/>
          <w:color w:val="000000"/>
          <w:kern w:val="0"/>
          <w:sz w:val="32"/>
          <w:szCs w:val="32"/>
        </w:rPr>
        <w:t>三、202</w:t>
      </w:r>
      <w:r>
        <w:rPr>
          <w:rFonts w:hint="eastAsia" w:ascii="黑体" w:eastAsia="黑体"/>
          <w:color w:val="000000"/>
          <w:kern w:val="0"/>
          <w:sz w:val="32"/>
          <w:szCs w:val="32"/>
          <w:lang w:val="en-US" w:eastAsia="zh-CN"/>
        </w:rPr>
        <w:t>5</w:t>
      </w:r>
      <w:r>
        <w:rPr>
          <w:rFonts w:hint="eastAsia" w:ascii="黑体" w:eastAsia="黑体"/>
          <w:color w:val="000000"/>
          <w:kern w:val="0"/>
          <w:sz w:val="32"/>
          <w:szCs w:val="32"/>
        </w:rPr>
        <w:t>年经济社会发展的主要任务措施</w:t>
      </w:r>
    </w:p>
    <w:p>
      <w:pPr>
        <w:keepNext w:val="0"/>
        <w:keepLines w:val="0"/>
        <w:pageBreakBefore w:val="0"/>
        <w:tabs>
          <w:tab w:val="left" w:pos="1701"/>
        </w:tabs>
        <w:kinsoku/>
        <w:wordWrap/>
        <w:overflowPunct/>
        <w:topLinePunct w:val="0"/>
        <w:autoSpaceDE/>
        <w:autoSpaceDN/>
        <w:bidi w:val="0"/>
        <w:adjustRightInd/>
        <w:spacing w:line="560" w:lineRule="exact"/>
        <w:ind w:right="0" w:firstLine="640" w:firstLineChars="200"/>
        <w:jc w:val="left"/>
        <w:textAlignment w:val="auto"/>
        <w:rPr>
          <w:rFonts w:hint="eastAsia" w:ascii="楷体_GB2312" w:eastAsia="楷体_GB2312"/>
          <w:bCs/>
          <w:color w:val="000000"/>
          <w:kern w:val="0"/>
          <w:sz w:val="32"/>
          <w:szCs w:val="32"/>
        </w:rPr>
      </w:pPr>
      <w:r>
        <w:rPr>
          <w:rFonts w:hint="eastAsia" w:ascii="楷体_GB2312" w:eastAsia="楷体_GB2312"/>
          <w:bCs/>
          <w:color w:val="000000"/>
          <w:kern w:val="0"/>
          <w:sz w:val="32"/>
          <w:szCs w:val="32"/>
        </w:rPr>
        <w:t>（一）</w:t>
      </w:r>
      <w:r>
        <w:rPr>
          <w:rFonts w:hint="eastAsia" w:ascii="楷体_GB2312" w:eastAsia="楷体_GB2312"/>
          <w:bCs/>
          <w:color w:val="000000"/>
          <w:kern w:val="0"/>
          <w:sz w:val="32"/>
          <w:szCs w:val="32"/>
          <w:lang w:val="en-US" w:eastAsia="zh-CN"/>
        </w:rPr>
        <w:t>扎实推进新型工业化，在构建现代化产业体系上聚焦用力。</w:t>
      </w:r>
      <w:r>
        <w:rPr>
          <w:rFonts w:hint="eastAsia" w:ascii="仿宋_GB2312" w:eastAsia="仿宋_GB2312"/>
          <w:color w:val="000000"/>
          <w:kern w:val="0"/>
          <w:sz w:val="32"/>
          <w:szCs w:val="32"/>
          <w:lang w:val="en-US" w:eastAsia="zh-CN"/>
        </w:rPr>
        <w:t>全力推进新型工业化强县建设，围绕构建“4+3+X”产业体系，大力发展新质生产力，做强高质量发展支撑。一是推动优势产业聚链成群。精准引进一批大个头的强链延链补链项目，建设一批核心性、关键性项目。围绕做强4大主导产业，</w:t>
      </w:r>
      <w:r>
        <w:rPr>
          <w:rFonts w:hint="eastAsia" w:ascii="仿宋_GB2312" w:eastAsia="仿宋_GB2312"/>
          <w:color w:val="000000"/>
          <w:kern w:val="0"/>
          <w:sz w:val="32"/>
          <w:szCs w:val="32"/>
        </w:rPr>
        <w:t>重点推进</w:t>
      </w:r>
      <w:r>
        <w:rPr>
          <w:rFonts w:hint="eastAsia" w:ascii="仿宋_GB2312" w:eastAsia="仿宋_GB2312"/>
          <w:color w:val="000000"/>
          <w:kern w:val="0"/>
          <w:sz w:val="32"/>
          <w:szCs w:val="32"/>
          <w:lang w:eastAsia="zh-CN"/>
        </w:rPr>
        <w:t>恒信</w:t>
      </w:r>
      <w:r>
        <w:rPr>
          <w:rFonts w:hint="eastAsia" w:ascii="仿宋_GB2312" w:eastAsia="仿宋_GB2312"/>
          <w:color w:val="000000"/>
          <w:kern w:val="0"/>
          <w:sz w:val="32"/>
          <w:szCs w:val="32"/>
        </w:rPr>
        <w:t>氢能产业园、医药产业园、</w:t>
      </w:r>
      <w:r>
        <w:rPr>
          <w:rFonts w:hint="eastAsia" w:ascii="仿宋_GB2312" w:eastAsia="仿宋_GB2312"/>
          <w:color w:val="000000"/>
          <w:kern w:val="0"/>
          <w:sz w:val="32"/>
          <w:szCs w:val="32"/>
          <w:lang w:eastAsia="zh-CN"/>
        </w:rPr>
        <w:t>明升达</w:t>
      </w:r>
      <w:r>
        <w:rPr>
          <w:rFonts w:hint="eastAsia" w:ascii="仿宋_GB2312" w:eastAsia="仿宋_GB2312"/>
          <w:color w:val="000000"/>
          <w:kern w:val="0"/>
          <w:sz w:val="32"/>
          <w:szCs w:val="32"/>
        </w:rPr>
        <w:t>高分子材料产业园、亚荣新材料产业园、</w:t>
      </w:r>
      <w:r>
        <w:rPr>
          <w:rFonts w:hint="eastAsia" w:ascii="仿宋_GB2312" w:eastAsia="仿宋_GB2312"/>
          <w:color w:val="000000"/>
          <w:kern w:val="0"/>
          <w:sz w:val="32"/>
          <w:szCs w:val="32"/>
          <w:lang w:val="en-US" w:eastAsia="zh-CN"/>
        </w:rPr>
        <w:t>华阳</w:t>
      </w:r>
      <w:r>
        <w:rPr>
          <w:rFonts w:hint="eastAsia" w:ascii="仿宋_GB2312" w:eastAsia="仿宋_GB2312"/>
          <w:color w:val="000000"/>
          <w:kern w:val="0"/>
          <w:sz w:val="32"/>
          <w:szCs w:val="32"/>
        </w:rPr>
        <w:t>产业园</w:t>
      </w:r>
      <w:r>
        <w:rPr>
          <w:rFonts w:hint="eastAsia" w:ascii="仿宋_GB2312" w:eastAsia="仿宋_GB2312"/>
          <w:color w:val="000000"/>
          <w:kern w:val="0"/>
          <w:sz w:val="32"/>
          <w:szCs w:val="32"/>
          <w:lang w:eastAsia="zh-CN"/>
        </w:rPr>
        <w:t>、</w:t>
      </w:r>
      <w:r>
        <w:rPr>
          <w:rFonts w:hint="eastAsia" w:ascii="仿宋_GB2312" w:eastAsia="仿宋_GB2312"/>
          <w:color w:val="000000"/>
          <w:kern w:val="0"/>
          <w:sz w:val="32"/>
          <w:szCs w:val="32"/>
          <w:lang w:val="en-US" w:eastAsia="zh-CN"/>
        </w:rPr>
        <w:t>圣奥化工、迪尔化工7</w:t>
      </w:r>
      <w:r>
        <w:rPr>
          <w:rFonts w:hint="eastAsia" w:ascii="仿宋_GB2312" w:eastAsia="仿宋_GB2312"/>
          <w:color w:val="000000"/>
          <w:kern w:val="0"/>
          <w:sz w:val="32"/>
          <w:szCs w:val="32"/>
        </w:rPr>
        <w:t>大特色园区</w:t>
      </w:r>
      <w:r>
        <w:rPr>
          <w:rFonts w:hint="eastAsia" w:ascii="仿宋_GB2312" w:eastAsia="仿宋_GB2312"/>
          <w:color w:val="000000"/>
          <w:kern w:val="0"/>
          <w:sz w:val="32"/>
          <w:szCs w:val="32"/>
          <w:lang w:eastAsia="zh-CN"/>
        </w:rPr>
        <w:t>。</w:t>
      </w:r>
      <w:r>
        <w:rPr>
          <w:rFonts w:hint="eastAsia" w:ascii="仿宋_GB2312" w:eastAsia="仿宋_GB2312"/>
          <w:color w:val="000000"/>
          <w:kern w:val="0"/>
          <w:sz w:val="32"/>
          <w:szCs w:val="32"/>
          <w:lang w:val="en-US" w:eastAsia="zh-CN"/>
        </w:rPr>
        <w:t>以“1510”工程为抓手，</w:t>
      </w:r>
      <w:r>
        <w:rPr>
          <w:rFonts w:hint="eastAsia" w:ascii="仿宋_GB2312" w:eastAsia="仿宋_GB2312"/>
          <w:color w:val="000000"/>
          <w:kern w:val="0"/>
          <w:sz w:val="32"/>
          <w:szCs w:val="32"/>
        </w:rPr>
        <w:t>培育明升达、恒信</w:t>
      </w:r>
      <w:r>
        <w:rPr>
          <w:rFonts w:hint="eastAsia" w:ascii="仿宋_GB2312" w:eastAsia="仿宋_GB2312"/>
          <w:color w:val="000000"/>
          <w:kern w:val="0"/>
          <w:sz w:val="32"/>
          <w:szCs w:val="32"/>
          <w:lang w:val="en-US" w:eastAsia="zh-CN"/>
        </w:rPr>
        <w:t>高科</w:t>
      </w:r>
      <w:r>
        <w:rPr>
          <w:rFonts w:hint="eastAsia" w:ascii="仿宋_GB2312" w:eastAsia="仿宋_GB2312"/>
          <w:color w:val="000000"/>
          <w:kern w:val="0"/>
          <w:sz w:val="32"/>
          <w:szCs w:val="32"/>
        </w:rPr>
        <w:t>、</w:t>
      </w:r>
      <w:r>
        <w:rPr>
          <w:rFonts w:hint="eastAsia" w:ascii="仿宋_GB2312" w:eastAsia="仿宋_GB2312"/>
          <w:color w:val="000000"/>
          <w:kern w:val="0"/>
          <w:sz w:val="32"/>
          <w:szCs w:val="32"/>
          <w:lang w:eastAsia="zh-CN"/>
        </w:rPr>
        <w:t>华阳集团、</w:t>
      </w:r>
      <w:r>
        <w:rPr>
          <w:rFonts w:hint="eastAsia" w:ascii="仿宋_GB2312" w:eastAsia="仿宋_GB2312"/>
          <w:color w:val="000000"/>
          <w:kern w:val="0"/>
          <w:sz w:val="32"/>
          <w:szCs w:val="32"/>
        </w:rPr>
        <w:t>亚荣化学等龙头企业发展，</w:t>
      </w:r>
      <w:bookmarkStart w:id="1" w:name="_Hlk149118190"/>
      <w:r>
        <w:rPr>
          <w:rFonts w:hint="eastAsia" w:ascii="仿宋_GB2312" w:eastAsia="仿宋_GB2312"/>
          <w:color w:val="000000"/>
          <w:kern w:val="0"/>
          <w:sz w:val="32"/>
          <w:szCs w:val="32"/>
          <w:lang w:val="en-US" w:eastAsia="zh-CN"/>
        </w:rPr>
        <w:t>及时跟进明升达吡啶二期、亚荣15万吨氢氧化钾项目、</w:t>
      </w:r>
      <w:r>
        <w:rPr>
          <w:rFonts w:hint="eastAsia" w:ascii="仿宋_GB2312" w:eastAsia="仿宋_GB2312"/>
          <w:color w:val="000000"/>
          <w:kern w:val="0"/>
          <w:sz w:val="32"/>
          <w:szCs w:val="32"/>
          <w:lang w:eastAsia="zh-CN"/>
        </w:rPr>
        <w:t>金诺二期</w:t>
      </w:r>
      <w:r>
        <w:rPr>
          <w:rFonts w:hint="eastAsia" w:ascii="仿宋_GB2312" w:eastAsia="仿宋_GB2312"/>
          <w:color w:val="000000"/>
          <w:kern w:val="0"/>
          <w:sz w:val="32"/>
          <w:szCs w:val="32"/>
          <w:lang w:val="en-US" w:eastAsia="zh-CN"/>
        </w:rPr>
        <w:t>等重点项目，力争明升达年内营收过100亿元，</w:t>
      </w:r>
      <w:r>
        <w:rPr>
          <w:rFonts w:hint="eastAsia" w:ascii="仿宋_GB2312" w:eastAsia="仿宋_GB2312"/>
          <w:color w:val="000000"/>
          <w:kern w:val="0"/>
          <w:sz w:val="32"/>
          <w:szCs w:val="32"/>
        </w:rPr>
        <w:t>打造</w:t>
      </w:r>
      <w:r>
        <w:rPr>
          <w:rFonts w:hint="eastAsia" w:ascii="仿宋_GB2312" w:eastAsia="仿宋_GB2312"/>
          <w:color w:val="000000"/>
          <w:kern w:val="0"/>
          <w:sz w:val="32"/>
          <w:szCs w:val="32"/>
          <w:lang w:eastAsia="zh-CN"/>
        </w:rPr>
        <w:t>五百亿</w:t>
      </w:r>
      <w:r>
        <w:rPr>
          <w:rFonts w:hint="eastAsia" w:ascii="仿宋_GB2312" w:eastAsia="仿宋_GB2312"/>
          <w:color w:val="000000"/>
          <w:kern w:val="0"/>
          <w:sz w:val="32"/>
          <w:szCs w:val="32"/>
        </w:rPr>
        <w:t>级化工产业集群</w:t>
      </w:r>
      <w:bookmarkEnd w:id="1"/>
      <w:r>
        <w:rPr>
          <w:rFonts w:hint="eastAsia" w:ascii="仿宋_GB2312" w:eastAsia="仿宋_GB2312"/>
          <w:color w:val="000000"/>
          <w:kern w:val="0"/>
          <w:sz w:val="32"/>
          <w:szCs w:val="32"/>
          <w:lang w:eastAsia="zh-CN"/>
        </w:rPr>
        <w:t>。</w:t>
      </w:r>
      <w:r>
        <w:rPr>
          <w:rFonts w:hint="eastAsia" w:ascii="仿宋_GB2312" w:eastAsia="仿宋_GB2312"/>
          <w:color w:val="000000"/>
          <w:kern w:val="0"/>
          <w:sz w:val="32"/>
          <w:szCs w:val="32"/>
          <w:lang w:val="en-US" w:eastAsia="zh-CN"/>
        </w:rPr>
        <w:t>二是聚力企业梯次培育。持续做好中小微企业升规纳统培育工作，筛选出年度在产拟升规企业、竣工达产拟升规企业培育清单，有序推进，升规纳统。</w:t>
      </w:r>
      <w:r>
        <w:rPr>
          <w:rFonts w:hint="eastAsia" w:ascii="仿宋_GB2312" w:eastAsia="仿宋_GB2312"/>
          <w:color w:val="000000"/>
          <w:kern w:val="0"/>
          <w:sz w:val="32"/>
          <w:szCs w:val="32"/>
          <w:lang w:eastAsia="zh-CN"/>
        </w:rPr>
        <w:t>科学制定中小微企业“培育升级”工程实施方案，加强调度监测，定期深入企业调研，分析研判培育措施，</w:t>
      </w:r>
      <w:r>
        <w:rPr>
          <w:rFonts w:hint="eastAsia" w:ascii="仿宋_GB2312" w:eastAsia="仿宋_GB2312"/>
          <w:color w:val="000000"/>
          <w:kern w:val="0"/>
          <w:sz w:val="32"/>
          <w:szCs w:val="32"/>
          <w:lang w:val="en-US" w:eastAsia="zh-CN"/>
        </w:rPr>
        <w:t>全年力争新增规模以上工业企业30家以上。积极推动新合源争创国家“小巨人”企业，宝胜、亚荣等企业争创省级单项冠军，天和、轩德医药等企业争创</w:t>
      </w:r>
      <w:r>
        <w:rPr>
          <w:rFonts w:hint="eastAsia" w:ascii="仿宋_GB2312" w:eastAsia="仿宋_GB2312"/>
          <w:color w:val="000000"/>
          <w:kern w:val="0"/>
          <w:sz w:val="32"/>
          <w:szCs w:val="32"/>
        </w:rPr>
        <w:t>省级</w:t>
      </w:r>
      <w:r>
        <w:rPr>
          <w:rFonts w:hint="eastAsia" w:ascii="仿宋_GB2312" w:eastAsia="仿宋_GB2312"/>
          <w:color w:val="000000"/>
          <w:kern w:val="0"/>
          <w:sz w:val="32"/>
          <w:szCs w:val="32"/>
          <w:lang w:eastAsia="zh-CN"/>
        </w:rPr>
        <w:t>“</w:t>
      </w:r>
      <w:r>
        <w:rPr>
          <w:rFonts w:hint="eastAsia" w:ascii="仿宋_GB2312" w:eastAsia="仿宋_GB2312"/>
          <w:color w:val="000000"/>
          <w:kern w:val="0"/>
          <w:sz w:val="32"/>
          <w:szCs w:val="32"/>
        </w:rPr>
        <w:t>瞪羚</w:t>
      </w:r>
      <w:r>
        <w:rPr>
          <w:rFonts w:hint="eastAsia" w:ascii="仿宋_GB2312" w:eastAsia="仿宋_GB2312"/>
          <w:color w:val="000000"/>
          <w:kern w:val="0"/>
          <w:sz w:val="32"/>
          <w:szCs w:val="32"/>
          <w:lang w:eastAsia="zh-CN"/>
        </w:rPr>
        <w:t>”</w:t>
      </w:r>
      <w:r>
        <w:rPr>
          <w:rFonts w:hint="eastAsia" w:ascii="仿宋_GB2312" w:eastAsia="仿宋_GB2312"/>
          <w:color w:val="000000"/>
          <w:kern w:val="0"/>
          <w:sz w:val="32"/>
          <w:szCs w:val="32"/>
        </w:rPr>
        <w:t>企业</w:t>
      </w:r>
      <w:r>
        <w:rPr>
          <w:rFonts w:hint="eastAsia" w:ascii="仿宋_GB2312" w:eastAsia="仿宋_GB2312"/>
          <w:color w:val="000000"/>
          <w:kern w:val="0"/>
          <w:sz w:val="32"/>
          <w:szCs w:val="32"/>
          <w:lang w:eastAsia="zh-CN"/>
        </w:rPr>
        <w:t>，</w:t>
      </w:r>
      <w:r>
        <w:rPr>
          <w:rFonts w:hint="eastAsia" w:ascii="仿宋_GB2312" w:eastAsia="仿宋_GB2312"/>
          <w:color w:val="000000"/>
          <w:kern w:val="0"/>
          <w:sz w:val="32"/>
          <w:szCs w:val="32"/>
          <w:lang w:val="en-US" w:eastAsia="zh-CN"/>
        </w:rPr>
        <w:t>宝胜、明升达申报省级绿色工厂，年内发展恒信高科、明升达等省级“专精特新”企业20家。三是</w:t>
      </w:r>
      <w:r>
        <w:rPr>
          <w:rFonts w:hint="eastAsia" w:ascii="仿宋_GB2312" w:eastAsia="仿宋_GB2312"/>
          <w:color w:val="000000"/>
          <w:kern w:val="0"/>
          <w:sz w:val="32"/>
          <w:szCs w:val="32"/>
        </w:rPr>
        <w:t>加强企业协同创新</w:t>
      </w:r>
      <w:r>
        <w:rPr>
          <w:rFonts w:hint="eastAsia" w:ascii="仿宋_GB2312" w:eastAsia="仿宋_GB2312"/>
          <w:color w:val="000000"/>
          <w:kern w:val="0"/>
          <w:sz w:val="32"/>
          <w:szCs w:val="32"/>
          <w:lang w:val="en-US" w:eastAsia="zh-CN"/>
        </w:rPr>
        <w:t>。</w:t>
      </w:r>
      <w:r>
        <w:rPr>
          <w:rFonts w:hint="eastAsia" w:ascii="仿宋_GB2312" w:eastAsia="仿宋_GB2312"/>
          <w:color w:val="000000"/>
          <w:kern w:val="0"/>
          <w:sz w:val="32"/>
          <w:szCs w:val="32"/>
        </w:rPr>
        <w:t>加大</w:t>
      </w:r>
      <w:r>
        <w:rPr>
          <w:rFonts w:hint="eastAsia" w:ascii="仿宋_GB2312" w:eastAsia="仿宋_GB2312"/>
          <w:color w:val="000000"/>
          <w:kern w:val="0"/>
          <w:sz w:val="32"/>
          <w:szCs w:val="32"/>
          <w:lang w:eastAsia="zh-CN"/>
        </w:rPr>
        <w:t>中小企业</w:t>
      </w:r>
      <w:r>
        <w:rPr>
          <w:rFonts w:hint="eastAsia" w:ascii="仿宋_GB2312" w:eastAsia="仿宋_GB2312"/>
          <w:color w:val="000000"/>
          <w:kern w:val="0"/>
          <w:sz w:val="32"/>
          <w:szCs w:val="32"/>
        </w:rPr>
        <w:t>人才引育力度，大力集聚企业发展所需的科研人才、青年人才、经营管理人才，用好用活</w:t>
      </w:r>
      <w:r>
        <w:rPr>
          <w:rFonts w:hint="eastAsia" w:ascii="仿宋_GB2312" w:eastAsia="仿宋_GB2312"/>
          <w:color w:val="000000"/>
          <w:kern w:val="0"/>
          <w:sz w:val="32"/>
          <w:szCs w:val="32"/>
          <w:lang w:eastAsia="zh-CN"/>
        </w:rPr>
        <w:t>“一起益企”服务活动</w:t>
      </w:r>
      <w:r>
        <w:rPr>
          <w:rFonts w:hint="eastAsia" w:ascii="仿宋_GB2312" w:eastAsia="仿宋_GB2312"/>
          <w:color w:val="000000"/>
          <w:kern w:val="0"/>
          <w:sz w:val="32"/>
          <w:szCs w:val="32"/>
        </w:rPr>
        <w:t>，促进省内外高端智力资源、科技资源与我</w:t>
      </w:r>
      <w:r>
        <w:rPr>
          <w:rFonts w:hint="eastAsia" w:ascii="仿宋_GB2312" w:eastAsia="仿宋_GB2312"/>
          <w:color w:val="000000"/>
          <w:kern w:val="0"/>
          <w:sz w:val="32"/>
          <w:szCs w:val="32"/>
          <w:lang w:eastAsia="zh-CN"/>
        </w:rPr>
        <w:t>县</w:t>
      </w:r>
      <w:r>
        <w:rPr>
          <w:rFonts w:hint="eastAsia" w:ascii="仿宋_GB2312" w:eastAsia="仿宋_GB2312"/>
          <w:color w:val="000000"/>
          <w:kern w:val="0"/>
          <w:sz w:val="32"/>
          <w:szCs w:val="32"/>
        </w:rPr>
        <w:t>中小企业发展需求精准嫁接、高效转化。</w:t>
      </w:r>
      <w:r>
        <w:rPr>
          <w:rFonts w:hint="eastAsia" w:ascii="仿宋_GB2312" w:eastAsia="仿宋_GB2312"/>
          <w:color w:val="000000"/>
          <w:kern w:val="0"/>
          <w:sz w:val="32"/>
          <w:szCs w:val="32"/>
          <w:lang w:val="en-US" w:eastAsia="zh-CN"/>
        </w:rPr>
        <w:t>全年</w:t>
      </w:r>
      <w:r>
        <w:rPr>
          <w:rFonts w:hint="eastAsia" w:ascii="仿宋_GB2312" w:eastAsia="仿宋_GB2312"/>
          <w:color w:val="000000"/>
          <w:kern w:val="0"/>
          <w:sz w:val="32"/>
          <w:szCs w:val="32"/>
        </w:rPr>
        <w:t>力争全县入库国家科技型中小企业140家以上，认定国家高新技术企业30家以上，总量突破110家</w:t>
      </w:r>
      <w:r>
        <w:rPr>
          <w:rFonts w:hint="eastAsia" w:ascii="仿宋_GB2312" w:eastAsia="仿宋_GB2312"/>
          <w:color w:val="000000"/>
          <w:kern w:val="0"/>
          <w:sz w:val="32"/>
          <w:szCs w:val="32"/>
          <w:lang w:eastAsia="zh-CN"/>
        </w:rPr>
        <w:t>，</w:t>
      </w:r>
      <w:r>
        <w:rPr>
          <w:rFonts w:hint="eastAsia" w:ascii="仿宋_GB2312" w:eastAsia="仿宋_GB2312"/>
          <w:color w:val="000000"/>
          <w:kern w:val="0"/>
          <w:sz w:val="32"/>
          <w:szCs w:val="32"/>
        </w:rPr>
        <w:t>新增省级创新平台2家，市级创新平台10家以上，科技系统市级以上创新平台总量达到60家以上。</w:t>
      </w:r>
      <w:r>
        <w:rPr>
          <w:rFonts w:hint="eastAsia" w:ascii="仿宋_GB2312" w:eastAsia="仿宋_GB2312"/>
          <w:color w:val="000000"/>
          <w:kern w:val="0"/>
          <w:sz w:val="32"/>
          <w:szCs w:val="32"/>
          <w:lang w:val="en-US" w:eastAsia="zh-CN"/>
        </w:rPr>
        <w:t>高端化工争创省级雁阵形产业集群。全年力争新创建省级企业技术中心1家，省级工程研究中心1家,市级企业技术中心2家，市级工程研究中心2家。开展高层次人才储备和引育情况摸底调研，对碧蓝生物、华阳农药、泰乐源、中京生物等人才工作重点企业上门服务、政策宣贯，提高人才项目申报成功率。</w:t>
      </w:r>
    </w:p>
    <w:p>
      <w:pPr>
        <w:keepNext w:val="0"/>
        <w:keepLines w:val="0"/>
        <w:pageBreakBefore w:val="0"/>
        <w:widowControl/>
        <w:tabs>
          <w:tab w:val="left" w:pos="1701"/>
        </w:tabs>
        <w:kinsoku/>
        <w:wordWrap/>
        <w:overflowPunct/>
        <w:topLinePunct w:val="0"/>
        <w:autoSpaceDE/>
        <w:autoSpaceDN/>
        <w:bidi w:val="0"/>
        <w:adjustRightInd/>
        <w:spacing w:line="560" w:lineRule="exact"/>
        <w:ind w:right="0" w:firstLine="640" w:firstLineChars="200"/>
        <w:jc w:val="left"/>
        <w:textAlignment w:val="auto"/>
        <w:rPr>
          <w:rFonts w:hint="eastAsia" w:ascii="楷体_GB2312" w:eastAsia="楷体_GB2312"/>
          <w:bCs/>
          <w:color w:val="000000"/>
          <w:kern w:val="0"/>
          <w:sz w:val="32"/>
          <w:szCs w:val="32"/>
        </w:rPr>
      </w:pPr>
      <w:r>
        <w:rPr>
          <w:rFonts w:hint="eastAsia" w:ascii="楷体_GB2312" w:eastAsia="楷体_GB2312"/>
          <w:bCs/>
          <w:color w:val="000000"/>
          <w:kern w:val="0"/>
          <w:sz w:val="32"/>
          <w:szCs w:val="32"/>
        </w:rPr>
        <w:t>（二）</w:t>
      </w:r>
      <w:r>
        <w:rPr>
          <w:rFonts w:hint="eastAsia" w:ascii="楷体_GB2312" w:eastAsia="楷体_GB2312"/>
          <w:bCs/>
          <w:color w:val="000000"/>
          <w:kern w:val="0"/>
          <w:sz w:val="32"/>
          <w:szCs w:val="32"/>
          <w:lang w:eastAsia="zh-CN"/>
        </w:rPr>
        <w:t>扎实推进</w:t>
      </w:r>
      <w:r>
        <w:rPr>
          <w:rFonts w:hint="eastAsia" w:ascii="楷体_GB2312" w:eastAsia="楷体_GB2312"/>
          <w:bCs/>
          <w:color w:val="000000"/>
          <w:kern w:val="0"/>
          <w:sz w:val="32"/>
          <w:szCs w:val="32"/>
          <w:lang w:val="en-US" w:eastAsia="zh-CN"/>
        </w:rPr>
        <w:t>招商引资</w:t>
      </w:r>
      <w:r>
        <w:rPr>
          <w:rFonts w:hint="eastAsia" w:ascii="楷体_GB2312" w:eastAsia="楷体_GB2312"/>
          <w:bCs/>
          <w:color w:val="000000"/>
          <w:kern w:val="0"/>
          <w:sz w:val="32"/>
          <w:szCs w:val="32"/>
        </w:rPr>
        <w:t>和项目建设，</w:t>
      </w:r>
      <w:r>
        <w:rPr>
          <w:rFonts w:hint="eastAsia" w:ascii="楷体_GB2312" w:eastAsia="楷体_GB2312"/>
          <w:bCs/>
          <w:color w:val="000000"/>
          <w:kern w:val="0"/>
          <w:sz w:val="32"/>
          <w:szCs w:val="32"/>
          <w:lang w:val="en-US" w:eastAsia="zh-CN"/>
        </w:rPr>
        <w:t>在</w:t>
      </w:r>
      <w:r>
        <w:rPr>
          <w:rFonts w:hint="eastAsia" w:ascii="楷体_GB2312" w:eastAsia="楷体_GB2312"/>
          <w:bCs/>
          <w:color w:val="000000"/>
          <w:kern w:val="0"/>
          <w:sz w:val="32"/>
          <w:szCs w:val="32"/>
        </w:rPr>
        <w:t>激发经济发展动力</w:t>
      </w:r>
      <w:r>
        <w:rPr>
          <w:rFonts w:hint="eastAsia" w:ascii="楷体_GB2312" w:eastAsia="楷体_GB2312"/>
          <w:bCs/>
          <w:color w:val="000000"/>
          <w:kern w:val="0"/>
          <w:sz w:val="32"/>
          <w:szCs w:val="32"/>
          <w:lang w:val="en-US" w:eastAsia="zh-CN"/>
        </w:rPr>
        <w:t>上聚焦用力。</w:t>
      </w:r>
      <w:r>
        <w:rPr>
          <w:rFonts w:hint="eastAsia" w:ascii="仿宋_GB2312" w:eastAsia="仿宋_GB2312"/>
          <w:color w:val="000000"/>
          <w:kern w:val="0"/>
          <w:sz w:val="32"/>
          <w:szCs w:val="32"/>
        </w:rPr>
        <w:t>坚持项目为王，突出抓好</w:t>
      </w:r>
      <w:r>
        <w:rPr>
          <w:rFonts w:hint="eastAsia" w:ascii="仿宋_GB2312" w:eastAsia="仿宋_GB2312"/>
          <w:color w:val="000000"/>
          <w:kern w:val="0"/>
          <w:sz w:val="32"/>
          <w:szCs w:val="32"/>
          <w:lang w:val="en-US" w:eastAsia="zh-CN"/>
        </w:rPr>
        <w:t>招商引资</w:t>
      </w:r>
      <w:r>
        <w:rPr>
          <w:rFonts w:hint="eastAsia" w:ascii="仿宋_GB2312" w:eastAsia="仿宋_GB2312"/>
          <w:color w:val="000000"/>
          <w:kern w:val="0"/>
          <w:sz w:val="32"/>
          <w:szCs w:val="32"/>
        </w:rPr>
        <w:t>和项目建设这个总抓手，</w:t>
      </w:r>
      <w:r>
        <w:rPr>
          <w:rFonts w:hint="eastAsia" w:ascii="仿宋_GB2312" w:eastAsia="仿宋_GB2312"/>
          <w:color w:val="000000"/>
          <w:kern w:val="0"/>
          <w:sz w:val="32"/>
          <w:szCs w:val="32"/>
          <w:lang w:val="en-US" w:eastAsia="zh-CN"/>
        </w:rPr>
        <w:t>不断扩大有效投资，持续增强县域发展的支撑后劲。一是强化招商引资。聚焦“4+3+X”产业体系，突出高端化工“首位产业”，培育发展新能源、新材料、生物医药等新质生产力，聚焦未来产业、低空经济、卫星产业，瞄准行业龙头，谋划招商新路径。按照全县资源“一张图”，实行熟地资源共享，大力推进“熟地+标准厂房”模式，加快推进开发区零碳智慧产业园、高新区智能科创园等项目建设。二是强化重点项目建设。聚焦“5311”项目建设目标，强化重点项目分级推进和领导干部包保、定期调度机制，全年策划储备项目500个以上，新开工项目300个以上，其中产业项目达到200个以上，竣工投产项目100个以上；力争100个以上项目纳入市重点策划项目库，20个以上获评市优秀案例，完成固定资产投资192亿元以上。围绕“先进设备更新、数字化转型、绿色装备推广、本质安全提升”等方向，策划工业技改项目120个，储备大规模设备更新项目100个以上。持续开展项目纳统攻坚活动，计划纳统项目180个以上。三是强化对接争取。抢抓国家加力扩围“两重”“两新”、专项债地方审批自主权试点等政策机遇，谋划储备一批前期手续完备、成熟度高的优质项目，全年储备政策性资金项目300个以上。对已储备政策性资金项目实行“谋划”“推进”“成熟”三张清单管理，全力提高项目成熟度，争取更多项目纳入上级盘子，更多资金落地宁阳。积极争取黄河预算内及专项债资金，为</w:t>
      </w:r>
      <w:r>
        <w:rPr>
          <w:rFonts w:hint="eastAsia" w:ascii="仿宋_GB2312" w:eastAsia="仿宋_GB2312"/>
          <w:color w:val="000000"/>
          <w:kern w:val="0"/>
          <w:sz w:val="32"/>
          <w:szCs w:val="32"/>
        </w:rPr>
        <w:t>黄河战略落地见效提供资金支持。</w:t>
      </w:r>
      <w:r>
        <w:rPr>
          <w:rFonts w:hint="eastAsia" w:ascii="仿宋_GB2312" w:eastAsia="仿宋_GB2312"/>
          <w:color w:val="000000"/>
          <w:kern w:val="0"/>
          <w:sz w:val="32"/>
          <w:szCs w:val="32"/>
          <w:lang w:val="en-US" w:eastAsia="zh-CN"/>
        </w:rPr>
        <w:t>全县纳入省黄河战略重大项目库项目不少于5个，纳入市级项目不少于15个。四是强化新能源发展。以光伏发电为重点，以生物质能为补充，推动新能源多元化、协同化、规模化发展。重点推进华丰100MW光伏发电等项目建设，力争光伏装机容量突破50万千瓦。加快实施伏山镇电网侧电化学储能、华丰镇储能电站、明德电源园区智能控制和管理系统建设等项目建设，为县域企业节能降碳、降本增效提供典型示范案例。全域推进充电桩建设，全年新增建设充电桩100个以上。</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hint="eastAsia" w:ascii="楷体_GB2312" w:eastAsia="楷体_GB2312"/>
          <w:bCs/>
          <w:color w:val="000000"/>
          <w:kern w:val="0"/>
          <w:sz w:val="32"/>
          <w:szCs w:val="32"/>
        </w:rPr>
      </w:pPr>
      <w:r>
        <w:rPr>
          <w:rFonts w:hint="eastAsia" w:ascii="楷体_GB2312" w:eastAsia="楷体_GB2312"/>
          <w:bCs/>
          <w:color w:val="000000"/>
          <w:kern w:val="0"/>
          <w:sz w:val="32"/>
          <w:szCs w:val="32"/>
        </w:rPr>
        <w:t>（</w:t>
      </w:r>
      <w:r>
        <w:rPr>
          <w:rFonts w:hint="eastAsia" w:ascii="楷体_GB2312" w:eastAsia="楷体_GB2312"/>
          <w:bCs/>
          <w:color w:val="000000"/>
          <w:kern w:val="0"/>
          <w:sz w:val="32"/>
          <w:szCs w:val="32"/>
          <w:lang w:val="en-US" w:eastAsia="zh-CN"/>
        </w:rPr>
        <w:t>三</w:t>
      </w:r>
      <w:r>
        <w:rPr>
          <w:rFonts w:hint="eastAsia" w:ascii="楷体_GB2312" w:eastAsia="楷体_GB2312"/>
          <w:bCs/>
          <w:color w:val="000000"/>
          <w:kern w:val="0"/>
          <w:sz w:val="32"/>
          <w:szCs w:val="32"/>
        </w:rPr>
        <w:t>）</w:t>
      </w:r>
      <w:r>
        <w:rPr>
          <w:rFonts w:hint="eastAsia" w:ascii="楷体_GB2312" w:eastAsia="楷体_GB2312"/>
          <w:bCs/>
          <w:color w:val="000000"/>
          <w:kern w:val="0"/>
          <w:sz w:val="32"/>
          <w:szCs w:val="32"/>
          <w:lang w:eastAsia="zh-CN"/>
        </w:rPr>
        <w:t>扎实推进</w:t>
      </w:r>
      <w:r>
        <w:rPr>
          <w:rFonts w:hint="eastAsia" w:ascii="楷体_GB2312" w:eastAsia="楷体_GB2312"/>
          <w:bCs/>
          <w:color w:val="000000"/>
          <w:kern w:val="0"/>
          <w:sz w:val="32"/>
          <w:szCs w:val="32"/>
          <w:lang w:val="en-US" w:eastAsia="zh-CN"/>
        </w:rPr>
        <w:t>现代服务业，在发展新业态新模式上聚焦用力。</w:t>
      </w:r>
      <w:r>
        <w:rPr>
          <w:rFonts w:hint="eastAsia" w:ascii="仿宋_GB2312" w:eastAsia="仿宋_GB2312"/>
          <w:color w:val="000000"/>
          <w:kern w:val="0"/>
          <w:sz w:val="32"/>
          <w:szCs w:val="32"/>
          <w:lang w:val="en-US" w:eastAsia="zh-CN"/>
        </w:rPr>
        <w:t>坚持双向赋能、融合发展，健全完善专班推进机制，努力推动现代服务业规模和质量双提升。一是加快构建现代服务业产业体系。全年服务业增加值增长6%；现代服务业增加值增长5%；规上服务业营收增长20%；新增纳统规上服务业企业30家以上。坚持规划引领，突破发展物流、文旅两大传统产业，突出发展科技、</w:t>
      </w:r>
      <w:r>
        <w:rPr>
          <w:rFonts w:hint="eastAsia" w:ascii="仿宋_GB2312" w:eastAsia="仿宋_GB2312"/>
          <w:color w:val="000000"/>
          <w:kern w:val="0"/>
          <w:sz w:val="32"/>
          <w:szCs w:val="32"/>
        </w:rPr>
        <w:t>数字、电商三大新兴产业，提升发展商务、金融、餐饮、社区服务四大基础产业，加快推动服务业向高端高质、融合创新、集群集聚发展。加强平台支撑工程，聚力推进现代服务业集聚区建设运营；加强企业育强工程，聚力推进企业主辅分离、生产性领军企业建设；加强融合发展工程，聚力推进现代服务业与新型工业化、现代农业融合发展。</w:t>
      </w:r>
      <w:r>
        <w:rPr>
          <w:rFonts w:hint="eastAsia" w:ascii="仿宋_GB2312" w:eastAsia="仿宋_GB2312"/>
          <w:color w:val="000000"/>
          <w:kern w:val="0"/>
          <w:sz w:val="32"/>
          <w:szCs w:val="32"/>
          <w:lang w:val="en-US" w:eastAsia="zh-CN"/>
        </w:rPr>
        <w:t>着力强化载体支撑</w:t>
      </w:r>
      <w:r>
        <w:rPr>
          <w:rFonts w:hint="eastAsia" w:ascii="仿宋_GB2312" w:eastAsia="仿宋_GB2312"/>
          <w:color w:val="000000"/>
          <w:kern w:val="0"/>
          <w:sz w:val="32"/>
          <w:szCs w:val="32"/>
        </w:rPr>
        <w:t>，推动现代物流、检验检测、商贸流通、数字经济服务业集聚区项目建设，大力推进研发中心、金融中心、物流园区等服务业重要平台的搭建，引导服务业集群集聚发展。</w:t>
      </w:r>
      <w:r>
        <w:rPr>
          <w:rFonts w:hint="eastAsia" w:ascii="仿宋_GB2312" w:eastAsia="仿宋_GB2312"/>
          <w:color w:val="000000"/>
          <w:kern w:val="0"/>
          <w:sz w:val="32"/>
          <w:szCs w:val="32"/>
          <w:lang w:val="en-US" w:eastAsia="zh-CN"/>
        </w:rPr>
        <w:t>二是推动消费市场扩容提质。启动“春夏秋冬”消费季活动，促进汽车、家电等大宗消费，特色餐饮、老字号等品牌消费，提升消费竞争新优势。组织我县老字号企业参加山东品牌中华行系列活动，通过“走出去”方式扩大我县品牌影响力，同时抓住“春节、五一、国庆”等消费旺季，开启“惠享宁阳”系列主题促消费活动50场以上，培育体验式、沉浸式、互动式消费新场景，持续掀起消费热潮。三是大力发展文旅产业。</w:t>
      </w:r>
      <w:r>
        <w:rPr>
          <w:rFonts w:ascii="仿宋_GB2312" w:eastAsia="仿宋_GB2312"/>
          <w:color w:val="000000"/>
          <w:kern w:val="0"/>
          <w:sz w:val="32"/>
          <w:szCs w:val="32"/>
          <w:lang w:val="en-US" w:eastAsia="zh-CN"/>
        </w:rPr>
        <w:t>推动凤凰山休闲旅游区、彩山汶水景区争创国家4A级景区，培育华东野战军“攻济打援”指挥部旧址国防教育基地3A景区创建，积极打造、申报凤凰山省级生态旅游区</w:t>
      </w:r>
      <w:r>
        <w:rPr>
          <w:rFonts w:hint="eastAsia" w:ascii="仿宋_GB2312" w:eastAsia="仿宋_GB2312"/>
          <w:color w:val="000000"/>
          <w:kern w:val="0"/>
          <w:sz w:val="32"/>
          <w:szCs w:val="32"/>
          <w:lang w:val="en-US" w:eastAsia="zh-CN"/>
        </w:rPr>
        <w:t>。</w:t>
      </w:r>
      <w:r>
        <w:rPr>
          <w:rFonts w:ascii="仿宋_GB2312" w:eastAsia="仿宋_GB2312"/>
          <w:color w:val="000000"/>
          <w:kern w:val="0"/>
          <w:sz w:val="32"/>
          <w:szCs w:val="32"/>
          <w:lang w:val="en-US" w:eastAsia="zh-CN"/>
        </w:rPr>
        <w:t>推动唯可鲜食品现代产业园、辰信轴承科技有限公司等工业旅游项目申报省级工业旅游示范基地</w:t>
      </w:r>
      <w:r>
        <w:rPr>
          <w:rFonts w:hint="eastAsia" w:ascii="仿宋_GB2312" w:eastAsia="仿宋_GB2312"/>
          <w:color w:val="000000"/>
          <w:kern w:val="0"/>
          <w:sz w:val="32"/>
          <w:szCs w:val="32"/>
          <w:lang w:val="en-US" w:eastAsia="zh-CN"/>
        </w:rPr>
        <w:t>。</w:t>
      </w:r>
      <w:r>
        <w:rPr>
          <w:rFonts w:ascii="仿宋_GB2312" w:eastAsia="仿宋_GB2312"/>
          <w:color w:val="000000"/>
          <w:kern w:val="0"/>
          <w:sz w:val="32"/>
          <w:szCs w:val="32"/>
          <w:lang w:val="en-US" w:eastAsia="zh-CN"/>
        </w:rPr>
        <w:t>力争新打造2处省级乡村旅游重点村。</w:t>
      </w:r>
      <w:r>
        <w:rPr>
          <w:rFonts w:hint="eastAsia" w:ascii="仿宋_GB2312" w:eastAsia="仿宋_GB2312"/>
          <w:color w:val="000000"/>
          <w:kern w:val="0"/>
          <w:sz w:val="32"/>
          <w:szCs w:val="32"/>
          <w:lang w:val="en-US" w:eastAsia="zh-CN"/>
        </w:rPr>
        <w:t>积极培育以好运旅行社、米乐教育、探索家旅行社等为代表的宁阳旅行社品牌，促进“旅游+文化、旅游+教育”深度融合发展，满足文旅市场需求，</w:t>
      </w:r>
      <w:r>
        <w:rPr>
          <w:rFonts w:ascii="仿宋_GB2312" w:eastAsia="仿宋_GB2312"/>
          <w:color w:val="000000"/>
          <w:kern w:val="0"/>
          <w:sz w:val="32"/>
          <w:szCs w:val="32"/>
          <w:lang w:val="en-US" w:eastAsia="zh-CN"/>
        </w:rPr>
        <w:t>力争将阅读空间、非遗传承空间、演艺空间、文化健身娱乐空间等4项文化活动品牌打造成省级品牌。</w:t>
      </w:r>
    </w:p>
    <w:p>
      <w:pPr>
        <w:keepNext w:val="0"/>
        <w:keepLines w:val="0"/>
        <w:pageBreakBefore w:val="0"/>
        <w:widowControl w:val="0"/>
        <w:kinsoku/>
        <w:wordWrap/>
        <w:overflowPunct/>
        <w:topLinePunct w:val="0"/>
        <w:autoSpaceDE/>
        <w:autoSpaceDN/>
        <w:bidi w:val="0"/>
        <w:adjustRightInd/>
        <w:spacing w:line="560" w:lineRule="exact"/>
        <w:ind w:right="0" w:firstLine="640" w:firstLineChars="200"/>
        <w:textAlignment w:val="auto"/>
        <w:rPr>
          <w:rFonts w:hint="eastAsia" w:ascii="楷体_GB2312" w:eastAsia="楷体_GB2312"/>
          <w:bCs/>
          <w:color w:val="000000"/>
          <w:kern w:val="0"/>
          <w:sz w:val="32"/>
          <w:szCs w:val="32"/>
          <w:lang w:eastAsia="zh-CN"/>
        </w:rPr>
      </w:pPr>
      <w:r>
        <w:rPr>
          <w:rFonts w:hint="eastAsia" w:ascii="楷体_GB2312" w:eastAsia="楷体_GB2312"/>
          <w:bCs/>
          <w:color w:val="000000"/>
          <w:kern w:val="0"/>
          <w:sz w:val="32"/>
          <w:szCs w:val="32"/>
          <w:lang w:eastAsia="zh-CN"/>
        </w:rPr>
        <w:t>（</w:t>
      </w:r>
      <w:r>
        <w:rPr>
          <w:rFonts w:hint="eastAsia" w:ascii="楷体_GB2312" w:eastAsia="楷体_GB2312"/>
          <w:bCs/>
          <w:color w:val="000000"/>
          <w:kern w:val="0"/>
          <w:sz w:val="32"/>
          <w:szCs w:val="32"/>
          <w:lang w:val="en-US" w:eastAsia="zh-CN"/>
        </w:rPr>
        <w:t>四）</w:t>
      </w:r>
      <w:r>
        <w:rPr>
          <w:rFonts w:hint="eastAsia" w:ascii="楷体_GB2312" w:eastAsia="楷体_GB2312"/>
          <w:bCs/>
          <w:color w:val="000000"/>
          <w:kern w:val="0"/>
          <w:sz w:val="32"/>
          <w:szCs w:val="32"/>
          <w:lang w:eastAsia="zh-CN"/>
        </w:rPr>
        <w:t>扎实推进</w:t>
      </w:r>
      <w:r>
        <w:rPr>
          <w:rFonts w:hint="eastAsia" w:ascii="楷体_GB2312" w:eastAsia="楷体_GB2312"/>
          <w:bCs/>
          <w:color w:val="000000"/>
          <w:kern w:val="0"/>
          <w:sz w:val="32"/>
          <w:szCs w:val="32"/>
          <w:lang w:val="en-US" w:eastAsia="zh-CN"/>
        </w:rPr>
        <w:t>数字化转型，在加快数字宁阳建设上聚焦用力。</w:t>
      </w:r>
      <w:r>
        <w:rPr>
          <w:rFonts w:hint="eastAsia" w:ascii="仿宋_GB2312" w:eastAsia="仿宋_GB2312"/>
          <w:color w:val="000000"/>
          <w:kern w:val="0"/>
          <w:sz w:val="32"/>
          <w:szCs w:val="32"/>
          <w:lang w:val="en-US" w:eastAsia="zh-CN"/>
        </w:rPr>
        <w:t>围绕提高效率、节约成本，做好数字化和智能化技术的结合应用推广，推进全领域数字化转型。一是加快企业数字化转型。采取“揭榜挂帅”形式，推进第三批10个数字化转型标杆项目建设，年内实施数字化转型重点项目200个以上，全县数字经济核心产业增加值增速高于全市平均，占GDP比重达到8.5%以上。规上工业企业数字化转型实现全覆盖。</w:t>
      </w:r>
      <w:r>
        <w:rPr>
          <w:rFonts w:hint="eastAsia" w:ascii="仿宋_GB2312" w:eastAsia="仿宋_GB2312"/>
          <w:color w:val="000000"/>
          <w:kern w:val="0"/>
          <w:sz w:val="32"/>
          <w:szCs w:val="32"/>
          <w:lang w:eastAsia="zh-CN"/>
        </w:rPr>
        <w:t>加快培育软件信息服务业，争取全年月度升规纳统企业</w:t>
      </w:r>
      <w:r>
        <w:rPr>
          <w:rFonts w:hint="eastAsia" w:ascii="仿宋_GB2312" w:eastAsia="仿宋_GB2312"/>
          <w:color w:val="000000"/>
          <w:kern w:val="0"/>
          <w:sz w:val="32"/>
          <w:szCs w:val="32"/>
          <w:lang w:val="en-US" w:eastAsia="zh-CN"/>
        </w:rPr>
        <w:t>2个以上，行业营收增速领先全市平均增速。</w:t>
      </w:r>
      <w:r>
        <w:rPr>
          <w:rFonts w:hint="eastAsia" w:ascii="仿宋_GB2312" w:eastAsia="仿宋_GB2312"/>
          <w:color w:val="000000"/>
          <w:kern w:val="0"/>
          <w:sz w:val="32"/>
          <w:szCs w:val="32"/>
          <w:lang w:eastAsia="zh-CN"/>
        </w:rPr>
        <w:t>依托中京信达等企业软件开发优势，争取首版次高端软件获得突破</w:t>
      </w:r>
      <w:r>
        <w:rPr>
          <w:rFonts w:hint="eastAsia" w:ascii="仿宋_GB2312" w:eastAsia="仿宋_GB2312"/>
          <w:color w:val="000000"/>
          <w:kern w:val="0"/>
          <w:sz w:val="32"/>
          <w:szCs w:val="32"/>
        </w:rPr>
        <w:t>。</w:t>
      </w:r>
      <w:r>
        <w:rPr>
          <w:rFonts w:hint="eastAsia" w:ascii="仿宋_GB2312" w:eastAsia="仿宋_GB2312"/>
          <w:color w:val="000000"/>
          <w:kern w:val="0"/>
          <w:sz w:val="32"/>
          <w:szCs w:val="32"/>
          <w:lang w:eastAsia="zh-CN"/>
        </w:rPr>
        <w:t>持续推进贯标工作，</w:t>
      </w:r>
      <w:r>
        <w:rPr>
          <w:rFonts w:hint="eastAsia" w:ascii="仿宋_GB2312" w:eastAsia="仿宋_GB2312"/>
          <w:color w:val="000000"/>
          <w:kern w:val="0"/>
          <w:sz w:val="32"/>
          <w:szCs w:val="32"/>
        </w:rPr>
        <w:t>新</w:t>
      </w:r>
      <w:r>
        <w:rPr>
          <w:rFonts w:hint="eastAsia" w:ascii="仿宋_GB2312" w:eastAsia="仿宋_GB2312"/>
          <w:color w:val="000000"/>
          <w:kern w:val="0"/>
          <w:sz w:val="32"/>
          <w:szCs w:val="32"/>
          <w:lang w:eastAsia="zh-CN"/>
        </w:rPr>
        <w:t>增</w:t>
      </w:r>
      <w:r>
        <w:rPr>
          <w:rFonts w:hint="eastAsia" w:ascii="仿宋_GB2312" w:eastAsia="仿宋_GB2312"/>
          <w:color w:val="000000"/>
          <w:kern w:val="0"/>
          <w:sz w:val="32"/>
          <w:szCs w:val="32"/>
          <w:lang w:val="en-US" w:eastAsia="zh-CN"/>
        </w:rPr>
        <w:t>DC</w:t>
      </w:r>
      <w:r>
        <w:rPr>
          <w:rFonts w:hint="eastAsia" w:ascii="仿宋_GB2312" w:eastAsia="仿宋_GB2312"/>
          <w:color w:val="000000"/>
          <w:kern w:val="0"/>
          <w:sz w:val="32"/>
          <w:szCs w:val="32"/>
        </w:rPr>
        <w:t>MM贯标企业5家</w:t>
      </w:r>
      <w:r>
        <w:rPr>
          <w:rFonts w:hint="eastAsia" w:ascii="仿宋_GB2312" w:eastAsia="仿宋_GB2312"/>
          <w:color w:val="000000"/>
          <w:kern w:val="0"/>
          <w:sz w:val="32"/>
          <w:szCs w:val="32"/>
          <w:lang w:eastAsia="zh-CN"/>
        </w:rPr>
        <w:t>，</w:t>
      </w:r>
      <w:r>
        <w:rPr>
          <w:rFonts w:hint="eastAsia" w:ascii="仿宋_GB2312" w:eastAsia="仿宋_GB2312"/>
          <w:color w:val="000000"/>
          <w:kern w:val="0"/>
          <w:sz w:val="32"/>
          <w:szCs w:val="32"/>
        </w:rPr>
        <w:t>培育省级晨星工厂20家</w:t>
      </w:r>
      <w:r>
        <w:rPr>
          <w:rFonts w:hint="eastAsia" w:ascii="仿宋_GB2312" w:eastAsia="仿宋_GB2312"/>
          <w:color w:val="000000"/>
          <w:kern w:val="0"/>
          <w:sz w:val="32"/>
          <w:szCs w:val="32"/>
          <w:lang w:eastAsia="zh-CN"/>
        </w:rPr>
        <w:t>、</w:t>
      </w:r>
      <w:r>
        <w:rPr>
          <w:rFonts w:hint="eastAsia" w:ascii="仿宋_GB2312" w:eastAsia="仿宋_GB2312"/>
          <w:color w:val="000000"/>
          <w:kern w:val="0"/>
          <w:sz w:val="32"/>
          <w:szCs w:val="32"/>
        </w:rPr>
        <w:t>省级“炬星工厂”2家</w:t>
      </w:r>
      <w:r>
        <w:rPr>
          <w:rFonts w:hint="eastAsia" w:ascii="仿宋_GB2312" w:eastAsia="仿宋_GB2312"/>
          <w:color w:val="000000"/>
          <w:kern w:val="0"/>
          <w:sz w:val="32"/>
          <w:szCs w:val="32"/>
          <w:lang w:val="en-US" w:eastAsia="zh-CN"/>
        </w:rPr>
        <w:t>。</w:t>
      </w:r>
      <w:r>
        <w:rPr>
          <w:rFonts w:hint="eastAsia" w:ascii="仿宋_GB2312" w:eastAsia="仿宋_GB2312"/>
          <w:color w:val="000000"/>
          <w:kern w:val="0"/>
          <w:sz w:val="32"/>
          <w:szCs w:val="32"/>
          <w:lang w:eastAsia="zh-CN"/>
        </w:rPr>
        <w:t>争取</w:t>
      </w:r>
      <w:r>
        <w:rPr>
          <w:rFonts w:hint="eastAsia" w:ascii="仿宋_GB2312" w:eastAsia="仿宋_GB2312"/>
          <w:color w:val="000000"/>
          <w:kern w:val="0"/>
          <w:sz w:val="32"/>
          <w:szCs w:val="32"/>
          <w:lang w:val="en-US" w:eastAsia="zh-CN"/>
        </w:rPr>
        <w:t>DCMM试点企业累计达20家，“晨星工厂”入库企业达70家以上。搭建数字新平台,</w:t>
      </w:r>
      <w:r>
        <w:rPr>
          <w:rFonts w:hint="eastAsia" w:ascii="仿宋_GB2312" w:eastAsia="仿宋_GB2312"/>
          <w:color w:val="000000"/>
          <w:kern w:val="0"/>
          <w:sz w:val="32"/>
          <w:szCs w:val="32"/>
          <w:lang w:eastAsia="zh-CN"/>
        </w:rPr>
        <w:t>重点推进恒信“数通智联化工云平台”国家级互联网平台建设，</w:t>
      </w:r>
      <w:r>
        <w:rPr>
          <w:rFonts w:hint="eastAsia" w:ascii="仿宋_GB2312" w:eastAsia="仿宋_GB2312"/>
          <w:color w:val="000000"/>
          <w:kern w:val="0"/>
          <w:sz w:val="32"/>
          <w:szCs w:val="32"/>
          <w:lang w:val="en-US" w:eastAsia="zh-CN"/>
        </w:rPr>
        <w:t>争创国家级数字领航企业，发挥圣奥化工、腾飞机电、华阳农药、云联钢球等省市互联网平台作用，打造“一链一平台”。二是加快建设数字乡村。发挥鑫起点、巴夫巴夫、拍立送等省级直播基地、直播企业、电商平台示范带动作用，借鉴学习外地优秀发展经验，推动孵化更多优秀电商企业;提升全县电商示范镇、示范村的创建水平，打造市级电商示范镇、示范村。发挥“宁阳红品”区域公共品牌作用，建立宁阳农特产品电商供应链，开展网红直播助农专场、丰收节助农直播、农产品对接交流会等活动，推动特色农产品上网销售，提升农产品电商化水平。三是加快数字人才培育。实施全省首批数字技术工程师（中级）培训项目，提升数字人才自主创新能力，形成数字人才集聚效应。落实数字技术人才职称政策，推动数字技术工程师培育项目与职称评定衔接，全方位保障数字人才队伍快速发展。开展“专职科技成果转化人才队伍建设”专项活动，推动科技成果转化，推荐省级以上高层次人才1人。</w:t>
      </w:r>
    </w:p>
    <w:p>
      <w:pPr>
        <w:keepNext w:val="0"/>
        <w:keepLines w:val="0"/>
        <w:pageBreakBefore w:val="0"/>
        <w:kinsoku/>
        <w:wordWrap/>
        <w:overflowPunct/>
        <w:topLinePunct w:val="0"/>
        <w:autoSpaceDE/>
        <w:autoSpaceDN/>
        <w:bidi w:val="0"/>
        <w:adjustRightInd/>
        <w:spacing w:after="0" w:line="560" w:lineRule="exact"/>
        <w:ind w:right="0" w:firstLine="640" w:firstLineChars="200"/>
        <w:textAlignment w:val="auto"/>
        <w:rPr>
          <w:rFonts w:hint="eastAsia" w:ascii="楷体_GB2312" w:eastAsia="楷体_GB2312"/>
          <w:bCs/>
          <w:color w:val="000000"/>
          <w:kern w:val="0"/>
          <w:sz w:val="32"/>
          <w:szCs w:val="32"/>
          <w:lang w:val="en-US" w:eastAsia="zh-CN"/>
        </w:rPr>
      </w:pPr>
      <w:r>
        <w:rPr>
          <w:rFonts w:hint="eastAsia" w:ascii="楷体_GB2312" w:eastAsia="楷体_GB2312"/>
          <w:bCs/>
          <w:color w:val="000000"/>
          <w:kern w:val="0"/>
          <w:sz w:val="32"/>
          <w:szCs w:val="32"/>
          <w:lang w:val="en-US" w:eastAsia="zh-CN"/>
        </w:rPr>
        <w:t>（五）扎实推进</w:t>
      </w:r>
      <w:r>
        <w:rPr>
          <w:rFonts w:hint="eastAsia" w:ascii="楷体_GB2312" w:hAnsi="Times New Roman" w:eastAsia="楷体_GB2312"/>
          <w:bCs/>
          <w:color w:val="000000"/>
          <w:kern w:val="0"/>
          <w:sz w:val="32"/>
          <w:szCs w:val="32"/>
          <w:lang w:eastAsia="zh-CN"/>
        </w:rPr>
        <w:t>乡村</w:t>
      </w:r>
      <w:r>
        <w:rPr>
          <w:rFonts w:hint="eastAsia" w:ascii="楷体_GB2312" w:eastAsia="楷体_GB2312"/>
          <w:bCs/>
          <w:color w:val="000000"/>
          <w:kern w:val="0"/>
          <w:sz w:val="32"/>
          <w:szCs w:val="32"/>
          <w:lang w:eastAsia="zh-CN"/>
        </w:rPr>
        <w:t>全面</w:t>
      </w:r>
      <w:r>
        <w:rPr>
          <w:rFonts w:hint="eastAsia" w:ascii="楷体_GB2312" w:eastAsia="楷体_GB2312"/>
          <w:bCs/>
          <w:color w:val="000000"/>
          <w:kern w:val="0"/>
          <w:sz w:val="32"/>
          <w:szCs w:val="32"/>
        </w:rPr>
        <w:t>振兴，</w:t>
      </w:r>
      <w:r>
        <w:rPr>
          <w:rFonts w:hint="eastAsia" w:ascii="楷体_GB2312" w:eastAsia="楷体_GB2312"/>
          <w:bCs/>
          <w:color w:val="000000"/>
          <w:kern w:val="0"/>
          <w:sz w:val="32"/>
          <w:szCs w:val="32"/>
          <w:lang w:val="en-US" w:eastAsia="zh-CN"/>
        </w:rPr>
        <w:t>在加快农业强县建设上聚焦用力。</w:t>
      </w:r>
      <w:r>
        <w:rPr>
          <w:rFonts w:hint="eastAsia" w:ascii="仿宋_GB2312" w:eastAsia="仿宋_GB2312"/>
          <w:color w:val="000000"/>
          <w:kern w:val="0"/>
          <w:sz w:val="32"/>
          <w:szCs w:val="32"/>
          <w:lang w:val="en-US" w:eastAsia="zh-CN"/>
        </w:rPr>
        <w:t>把推进乡村全面振兴作为新时代“三农”工作的总抓手，推动实现农业高质高效、农村宜居宜业、农民富裕富足。一是坚决扛牢粮食安全政治责任。牢记粮食安全“国之大者”。</w:t>
      </w:r>
      <w:r>
        <w:rPr>
          <w:rFonts w:hint="eastAsia" w:ascii="仿宋_GB2312" w:eastAsia="仿宋_GB2312"/>
          <w:color w:val="000000"/>
          <w:kern w:val="0"/>
          <w:sz w:val="32"/>
          <w:szCs w:val="32"/>
        </w:rPr>
        <w:t>持续推进2个十万亩新时代汶阳田粮食高产区建设，</w:t>
      </w:r>
      <w:r>
        <w:rPr>
          <w:rFonts w:hint="eastAsia" w:ascii="仿宋_GB2312" w:eastAsia="仿宋_GB2312"/>
          <w:color w:val="000000"/>
          <w:kern w:val="0"/>
          <w:sz w:val="32"/>
          <w:szCs w:val="32"/>
          <w:lang w:eastAsia="zh-CN"/>
        </w:rPr>
        <w:t>实施好中央预算内投资</w:t>
      </w:r>
      <w:r>
        <w:rPr>
          <w:rFonts w:hint="eastAsia" w:ascii="仿宋_GB2312" w:eastAsia="仿宋_GB2312"/>
          <w:color w:val="000000"/>
          <w:kern w:val="0"/>
          <w:sz w:val="32"/>
          <w:szCs w:val="32"/>
          <w:lang w:val="en-US" w:eastAsia="zh-CN"/>
        </w:rPr>
        <w:t>3000万元的</w:t>
      </w:r>
      <w:r>
        <w:rPr>
          <w:rFonts w:hint="eastAsia" w:ascii="仿宋_GB2312" w:eastAsia="仿宋_GB2312"/>
          <w:color w:val="000000"/>
          <w:kern w:val="0"/>
          <w:sz w:val="32"/>
          <w:szCs w:val="32"/>
          <w:lang w:eastAsia="zh-CN"/>
        </w:rPr>
        <w:t>国家玉米单产提升工程，集成组装运用</w:t>
      </w:r>
      <w:r>
        <w:rPr>
          <w:rFonts w:hint="eastAsia" w:ascii="仿宋_GB2312" w:eastAsia="仿宋_GB2312"/>
          <w:color w:val="000000"/>
          <w:kern w:val="0"/>
          <w:sz w:val="32"/>
          <w:szCs w:val="32"/>
        </w:rPr>
        <w:t>良田、良种、良机、良技、</w:t>
      </w:r>
      <w:r>
        <w:rPr>
          <w:rFonts w:hint="eastAsia" w:ascii="仿宋_GB2312" w:eastAsia="仿宋_GB2312"/>
          <w:color w:val="000000"/>
          <w:kern w:val="0"/>
          <w:sz w:val="32"/>
          <w:szCs w:val="32"/>
          <w:lang w:val="en-US" w:eastAsia="zh-CN"/>
        </w:rPr>
        <w:t>良法</w:t>
      </w:r>
      <w:r>
        <w:rPr>
          <w:rFonts w:hint="eastAsia" w:ascii="仿宋_GB2312" w:eastAsia="仿宋_GB2312"/>
          <w:color w:val="000000"/>
          <w:kern w:val="0"/>
          <w:sz w:val="32"/>
          <w:szCs w:val="32"/>
        </w:rPr>
        <w:t>、良制等稳产增产措施，确保全县粮食种植面积和产量稳定在128万亩、12亿斤以上</w:t>
      </w:r>
      <w:r>
        <w:rPr>
          <w:rFonts w:hint="eastAsia" w:ascii="仿宋_GB2312" w:eastAsia="仿宋_GB2312"/>
          <w:color w:val="000000"/>
          <w:kern w:val="0"/>
          <w:sz w:val="32"/>
          <w:szCs w:val="32"/>
          <w:lang w:eastAsia="zh-CN"/>
        </w:rPr>
        <w:t>，</w:t>
      </w:r>
      <w:r>
        <w:rPr>
          <w:rFonts w:hint="eastAsia" w:ascii="仿宋_GB2312" w:eastAsia="仿宋_GB2312"/>
          <w:color w:val="000000"/>
          <w:kern w:val="0"/>
          <w:sz w:val="32"/>
          <w:szCs w:val="32"/>
        </w:rPr>
        <w:t>助力“泰山粮仓”建设。</w:t>
      </w:r>
      <w:r>
        <w:rPr>
          <w:rFonts w:hint="eastAsia" w:ascii="仿宋_GB2312" w:eastAsia="仿宋_GB2312"/>
          <w:color w:val="000000"/>
          <w:kern w:val="0"/>
          <w:sz w:val="32"/>
          <w:szCs w:val="32"/>
          <w:lang w:val="en-US" w:eastAsia="zh-CN"/>
        </w:rPr>
        <w:t>持续实施乡村振兴“1030”攻坚行动，抓两头、带中间，充分发挥示范引领作用；按照“2+7+5”省市县级片区梯级创建目标定位，以伏山镇汶禹示范区为主体，积极争创省级齐鲁样板示范区，巩固东疏镇“疏香田园”省级衔接集中推进区；在继续提升5个市级、3个县级片区的基础上，新建市、县级片区各2个。二是加快发展现代农业。推广蒋集镇“泰山番茄”产业示范园“从一粒种子到一瓶果汁”番茄全产业链发展模式</w:t>
      </w:r>
      <w:r>
        <w:rPr>
          <w:rFonts w:hint="eastAsia" w:ascii="仿宋_GB2312" w:eastAsia="仿宋_GB2312"/>
          <w:color w:val="000000"/>
          <w:kern w:val="0"/>
          <w:sz w:val="32"/>
          <w:szCs w:val="32"/>
          <w:lang w:eastAsia="zh-CN"/>
        </w:rPr>
        <w:t>，</w:t>
      </w:r>
      <w:r>
        <w:rPr>
          <w:rFonts w:hint="eastAsia" w:ascii="仿宋_GB2312" w:eastAsia="仿宋_GB2312"/>
          <w:color w:val="000000"/>
          <w:kern w:val="0"/>
          <w:sz w:val="32"/>
          <w:szCs w:val="32"/>
        </w:rPr>
        <w:t>持续推进6个</w:t>
      </w:r>
      <w:r>
        <w:rPr>
          <w:rFonts w:hint="eastAsia" w:ascii="仿宋_GB2312" w:eastAsia="仿宋_GB2312"/>
          <w:color w:val="000000"/>
          <w:kern w:val="0"/>
          <w:sz w:val="32"/>
          <w:szCs w:val="32"/>
          <w:lang w:eastAsia="zh-CN"/>
        </w:rPr>
        <w:t>“</w:t>
      </w:r>
      <w:r>
        <w:rPr>
          <w:rFonts w:hint="eastAsia" w:ascii="仿宋_GB2312" w:eastAsia="仿宋_GB2312"/>
          <w:color w:val="000000"/>
          <w:kern w:val="0"/>
          <w:sz w:val="32"/>
          <w:szCs w:val="32"/>
          <w:lang w:val="en-US" w:eastAsia="zh-CN"/>
        </w:rPr>
        <w:t>万亩千棚”</w:t>
      </w:r>
      <w:r>
        <w:rPr>
          <w:rFonts w:hint="eastAsia" w:ascii="仿宋_GB2312" w:eastAsia="仿宋_GB2312"/>
          <w:color w:val="000000"/>
          <w:kern w:val="0"/>
          <w:sz w:val="32"/>
          <w:szCs w:val="32"/>
        </w:rPr>
        <w:t>设施蔬菜</w:t>
      </w:r>
      <w:r>
        <w:rPr>
          <w:rFonts w:hint="eastAsia" w:ascii="仿宋_GB2312" w:eastAsia="仿宋_GB2312"/>
          <w:color w:val="000000"/>
          <w:kern w:val="0"/>
          <w:sz w:val="32"/>
          <w:szCs w:val="32"/>
          <w:lang w:val="en-US" w:eastAsia="zh-CN"/>
        </w:rPr>
        <w:t>基地</w:t>
      </w:r>
      <w:r>
        <w:rPr>
          <w:rFonts w:hint="eastAsia" w:ascii="仿宋_GB2312" w:eastAsia="仿宋_GB2312"/>
          <w:color w:val="000000"/>
          <w:kern w:val="0"/>
          <w:sz w:val="32"/>
          <w:szCs w:val="32"/>
        </w:rPr>
        <w:t>建设，加快设施蔬菜产业规模化、标准化</w:t>
      </w:r>
      <w:r>
        <w:rPr>
          <w:rFonts w:hint="eastAsia" w:ascii="仿宋_GB2312" w:eastAsia="仿宋_GB2312"/>
          <w:color w:val="000000"/>
          <w:kern w:val="0"/>
          <w:sz w:val="32"/>
          <w:szCs w:val="32"/>
          <w:lang w:eastAsia="zh-CN"/>
        </w:rPr>
        <w:t>、</w:t>
      </w:r>
      <w:r>
        <w:rPr>
          <w:rFonts w:hint="eastAsia" w:ascii="仿宋_GB2312" w:eastAsia="仿宋_GB2312"/>
          <w:color w:val="000000"/>
          <w:kern w:val="0"/>
          <w:sz w:val="32"/>
          <w:szCs w:val="32"/>
        </w:rPr>
        <w:t>品牌化发展。壮大泰山番茄产业集群规模，积极争取</w:t>
      </w:r>
      <w:r>
        <w:rPr>
          <w:rFonts w:hint="eastAsia" w:ascii="仿宋_GB2312" w:eastAsia="仿宋_GB2312"/>
          <w:color w:val="000000"/>
          <w:kern w:val="0"/>
          <w:sz w:val="32"/>
          <w:szCs w:val="32"/>
          <w:lang w:val="en-US" w:eastAsia="zh-CN"/>
        </w:rPr>
        <w:t>蒋集镇“泰山番茄”省级现代设施规模化示范园项目</w:t>
      </w:r>
      <w:r>
        <w:rPr>
          <w:rFonts w:hint="eastAsia" w:ascii="仿宋_GB2312" w:eastAsia="仿宋_GB2312"/>
          <w:color w:val="000000"/>
          <w:kern w:val="0"/>
          <w:sz w:val="32"/>
          <w:szCs w:val="32"/>
        </w:rPr>
        <w:t>，示范引领全县</w:t>
      </w:r>
      <w:r>
        <w:rPr>
          <w:rFonts w:hint="eastAsia" w:ascii="仿宋_GB2312" w:eastAsia="仿宋_GB2312"/>
          <w:color w:val="000000"/>
          <w:kern w:val="0"/>
          <w:sz w:val="32"/>
          <w:szCs w:val="32"/>
          <w:lang w:eastAsia="zh-CN"/>
        </w:rPr>
        <w:t>泰山</w:t>
      </w:r>
      <w:r>
        <w:rPr>
          <w:rFonts w:hint="eastAsia" w:ascii="仿宋_GB2312" w:eastAsia="仿宋_GB2312"/>
          <w:color w:val="000000"/>
          <w:kern w:val="0"/>
          <w:sz w:val="32"/>
          <w:szCs w:val="32"/>
        </w:rPr>
        <w:t>番茄产业的规模化发展。以“两菜一粮”种植模式为抓手，</w:t>
      </w:r>
      <w:r>
        <w:rPr>
          <w:rFonts w:hint="eastAsia" w:ascii="仿宋_GB2312" w:eastAsia="仿宋_GB2312"/>
          <w:color w:val="000000"/>
          <w:kern w:val="0"/>
          <w:sz w:val="32"/>
          <w:szCs w:val="32"/>
          <w:lang w:val="en-US" w:eastAsia="zh-CN"/>
        </w:rPr>
        <w:t>新</w:t>
      </w:r>
      <w:r>
        <w:rPr>
          <w:rFonts w:hint="eastAsia" w:ascii="仿宋_GB2312" w:eastAsia="仿宋_GB2312"/>
          <w:color w:val="000000"/>
          <w:kern w:val="0"/>
          <w:sz w:val="32"/>
          <w:szCs w:val="32"/>
          <w:lang w:eastAsia="zh-CN"/>
        </w:rPr>
        <w:t>发展露地蔬菜</w:t>
      </w:r>
      <w:r>
        <w:rPr>
          <w:rFonts w:hint="eastAsia" w:ascii="仿宋_GB2312" w:eastAsia="仿宋_GB2312"/>
          <w:color w:val="000000"/>
          <w:kern w:val="0"/>
          <w:sz w:val="32"/>
          <w:szCs w:val="32"/>
          <w:lang w:val="en-US" w:eastAsia="zh-CN"/>
        </w:rPr>
        <w:t>2万亩</w:t>
      </w:r>
      <w:r>
        <w:rPr>
          <w:rFonts w:hint="eastAsia" w:ascii="仿宋_GB2312" w:eastAsia="仿宋_GB2312"/>
          <w:color w:val="000000"/>
          <w:kern w:val="0"/>
          <w:sz w:val="32"/>
          <w:szCs w:val="32"/>
        </w:rPr>
        <w:t>。</w:t>
      </w:r>
      <w:r>
        <w:rPr>
          <w:rFonts w:hint="eastAsia" w:ascii="仿宋_GB2312" w:eastAsia="仿宋_GB2312"/>
          <w:color w:val="000000"/>
          <w:kern w:val="0"/>
          <w:sz w:val="32"/>
          <w:szCs w:val="32"/>
          <w:lang w:val="en-US" w:eastAsia="zh-CN"/>
        </w:rPr>
        <w:t>重点培养山东泰乐源食品科技股份有限公司，争取申报国家级农业龙</w:t>
      </w:r>
      <w:r>
        <w:rPr>
          <w:rFonts w:hint="eastAsia" w:ascii="仿宋_GB2312" w:eastAsia="仿宋_GB2312"/>
          <w:color w:val="000000"/>
          <w:kern w:val="0"/>
          <w:sz w:val="32"/>
          <w:szCs w:val="32"/>
        </w:rPr>
        <w:t>头企业</w:t>
      </w:r>
      <w:r>
        <w:rPr>
          <w:rFonts w:hint="eastAsia" w:ascii="仿宋_GB2312" w:eastAsia="仿宋_GB2312"/>
          <w:color w:val="000000"/>
          <w:kern w:val="0"/>
          <w:sz w:val="32"/>
          <w:szCs w:val="32"/>
          <w:lang w:eastAsia="zh-CN"/>
        </w:rPr>
        <w:t>，</w:t>
      </w:r>
      <w:r>
        <w:rPr>
          <w:rFonts w:hint="eastAsia" w:ascii="仿宋_GB2312" w:eastAsia="仿宋_GB2312"/>
          <w:color w:val="000000"/>
          <w:kern w:val="0"/>
          <w:sz w:val="32"/>
          <w:szCs w:val="32"/>
          <w:lang w:val="en-US" w:eastAsia="zh-CN"/>
        </w:rPr>
        <w:t>力争年内在北交所上市，完成新三板创新层升层。培植韩伟蛋制品、绮佳食品等5家企业升规纳统，</w:t>
      </w:r>
      <w:r>
        <w:rPr>
          <w:rFonts w:hint="eastAsia" w:ascii="仿宋_GB2312" w:eastAsia="仿宋_GB2312"/>
          <w:color w:val="000000"/>
          <w:kern w:val="0"/>
          <w:sz w:val="32"/>
          <w:szCs w:val="32"/>
          <w:lang w:val="en-US" w:eastAsia="en-US"/>
        </w:rPr>
        <w:t>规模以上农产品加工企业达到</w:t>
      </w:r>
      <w:r>
        <w:rPr>
          <w:rFonts w:hint="eastAsia" w:ascii="仿宋_GB2312" w:eastAsia="仿宋_GB2312"/>
          <w:color w:val="000000"/>
          <w:kern w:val="0"/>
          <w:sz w:val="32"/>
          <w:szCs w:val="32"/>
          <w:lang w:val="en-US" w:eastAsia="zh-CN"/>
        </w:rPr>
        <w:t>48</w:t>
      </w:r>
      <w:r>
        <w:rPr>
          <w:rFonts w:hint="eastAsia" w:ascii="仿宋_GB2312" w:eastAsia="仿宋_GB2312"/>
          <w:color w:val="000000"/>
          <w:kern w:val="0"/>
          <w:sz w:val="32"/>
          <w:szCs w:val="32"/>
          <w:lang w:val="en-US" w:eastAsia="en-US"/>
        </w:rPr>
        <w:t>家</w:t>
      </w:r>
      <w:r>
        <w:rPr>
          <w:rFonts w:hint="eastAsia" w:ascii="仿宋_GB2312" w:eastAsia="仿宋_GB2312"/>
          <w:color w:val="000000"/>
          <w:kern w:val="0"/>
          <w:sz w:val="32"/>
          <w:szCs w:val="32"/>
          <w:lang w:val="en-US" w:eastAsia="zh-CN"/>
        </w:rPr>
        <w:t>，力争年内农产品加工企业营收达到80亿元以上。加快推进专项债1亿元的</w:t>
      </w:r>
      <w:r>
        <w:rPr>
          <w:rFonts w:hint="eastAsia" w:ascii="仿宋_GB2312" w:eastAsia="仿宋_GB2312"/>
          <w:color w:val="000000"/>
          <w:kern w:val="0"/>
          <w:sz w:val="32"/>
          <w:szCs w:val="32"/>
          <w:lang w:eastAsia="zh-CN"/>
        </w:rPr>
        <w:t>全省</w:t>
      </w:r>
      <w:r>
        <w:rPr>
          <w:rFonts w:hint="eastAsia" w:ascii="仿宋_GB2312" w:eastAsia="仿宋_GB2312"/>
          <w:color w:val="000000"/>
          <w:kern w:val="0"/>
          <w:sz w:val="32"/>
          <w:szCs w:val="32"/>
        </w:rPr>
        <w:t>现代农业强县项目</w:t>
      </w:r>
      <w:r>
        <w:rPr>
          <w:rFonts w:hint="eastAsia" w:ascii="仿宋_GB2312" w:eastAsia="仿宋_GB2312"/>
          <w:color w:val="000000"/>
          <w:kern w:val="0"/>
          <w:sz w:val="32"/>
          <w:szCs w:val="32"/>
          <w:lang w:eastAsia="zh-CN"/>
        </w:rPr>
        <w:t>，</w:t>
      </w:r>
      <w:r>
        <w:rPr>
          <w:rFonts w:hint="eastAsia" w:ascii="仿宋_GB2312" w:eastAsia="仿宋_GB2312"/>
          <w:color w:val="000000"/>
          <w:kern w:val="0"/>
          <w:sz w:val="32"/>
          <w:szCs w:val="32"/>
          <w:lang w:val="en-US" w:eastAsia="zh-CN"/>
        </w:rPr>
        <w:t>抓好</w:t>
      </w:r>
      <w:r>
        <w:rPr>
          <w:rFonts w:hint="eastAsia" w:ascii="仿宋_GB2312" w:eastAsia="仿宋_GB2312"/>
          <w:color w:val="000000"/>
          <w:kern w:val="0"/>
          <w:sz w:val="32"/>
          <w:szCs w:val="32"/>
        </w:rPr>
        <w:t>山东巴夫绿色循环农业与生物产业示范园等</w:t>
      </w:r>
      <w:r>
        <w:rPr>
          <w:rFonts w:hint="eastAsia" w:ascii="仿宋_GB2312" w:eastAsia="仿宋_GB2312"/>
          <w:color w:val="000000"/>
          <w:kern w:val="0"/>
          <w:sz w:val="32"/>
          <w:szCs w:val="32"/>
          <w:lang w:val="en-US" w:eastAsia="zh-CN"/>
        </w:rPr>
        <w:t>10个</w:t>
      </w:r>
      <w:r>
        <w:rPr>
          <w:rFonts w:hint="eastAsia" w:ascii="仿宋_GB2312" w:eastAsia="仿宋_GB2312"/>
          <w:color w:val="000000"/>
          <w:kern w:val="0"/>
          <w:sz w:val="32"/>
          <w:szCs w:val="32"/>
        </w:rPr>
        <w:t>项目建设。</w:t>
      </w:r>
      <w:r>
        <w:rPr>
          <w:rFonts w:ascii="仿宋_GB2312" w:eastAsia="仿宋_GB2312"/>
          <w:color w:val="000000"/>
          <w:kern w:val="0"/>
          <w:sz w:val="32"/>
          <w:szCs w:val="32"/>
          <w:lang w:val="en-US" w:eastAsia="zh-CN"/>
        </w:rPr>
        <w:t>积极推动农业生产托管社会化服务高质量发展“一十百千”创建活动，</w:t>
      </w:r>
      <w:r>
        <w:rPr>
          <w:rFonts w:hint="eastAsia" w:ascii="仿宋_GB2312" w:eastAsia="仿宋_GB2312"/>
          <w:color w:val="000000"/>
          <w:kern w:val="0"/>
          <w:sz w:val="32"/>
          <w:szCs w:val="32"/>
          <w:lang w:val="en-US" w:eastAsia="zh-CN"/>
        </w:rPr>
        <w:t>实施好中央财政2460万元的农业社会化服务项目，</w:t>
      </w:r>
      <w:r>
        <w:rPr>
          <w:rFonts w:ascii="仿宋_GB2312" w:eastAsia="仿宋_GB2312"/>
          <w:color w:val="000000"/>
          <w:kern w:val="0"/>
          <w:sz w:val="32"/>
          <w:szCs w:val="32"/>
          <w:lang w:val="en-US" w:eastAsia="zh-CN"/>
        </w:rPr>
        <w:t>培育</w:t>
      </w:r>
      <w:r>
        <w:rPr>
          <w:rFonts w:hint="eastAsia" w:ascii="仿宋_GB2312" w:eastAsia="仿宋_GB2312"/>
          <w:color w:val="000000"/>
          <w:kern w:val="0"/>
          <w:sz w:val="32"/>
          <w:szCs w:val="32"/>
          <w:lang w:val="en-US" w:eastAsia="zh-CN"/>
        </w:rPr>
        <w:t>提升</w:t>
      </w:r>
      <w:r>
        <w:rPr>
          <w:rFonts w:ascii="仿宋_GB2312" w:eastAsia="仿宋_GB2312"/>
          <w:color w:val="000000"/>
          <w:kern w:val="0"/>
          <w:sz w:val="32"/>
          <w:szCs w:val="32"/>
          <w:lang w:val="en-US" w:eastAsia="zh-CN"/>
        </w:rPr>
        <w:t>农业生产托管示范乡镇</w:t>
      </w:r>
      <w:r>
        <w:rPr>
          <w:rFonts w:hint="eastAsia" w:ascii="仿宋_GB2312" w:eastAsia="仿宋_GB2312"/>
          <w:color w:val="000000"/>
          <w:kern w:val="0"/>
          <w:sz w:val="32"/>
          <w:szCs w:val="32"/>
          <w:lang w:val="en-US" w:eastAsia="zh-CN"/>
        </w:rPr>
        <w:t>3</w:t>
      </w:r>
      <w:r>
        <w:rPr>
          <w:rFonts w:ascii="仿宋_GB2312" w:eastAsia="仿宋_GB2312"/>
          <w:color w:val="000000"/>
          <w:kern w:val="0"/>
          <w:sz w:val="32"/>
          <w:szCs w:val="32"/>
          <w:lang w:val="en-US" w:eastAsia="zh-CN"/>
        </w:rPr>
        <w:t>个</w:t>
      </w:r>
      <w:r>
        <w:rPr>
          <w:rFonts w:hint="eastAsia" w:ascii="仿宋_GB2312" w:eastAsia="仿宋_GB2312"/>
          <w:color w:val="000000"/>
          <w:kern w:val="0"/>
          <w:sz w:val="32"/>
          <w:szCs w:val="32"/>
          <w:lang w:val="en-US" w:eastAsia="zh-CN"/>
        </w:rPr>
        <w:t>。三是加快建设宜居宜业和美乡村。积极对上争取和美乡村示范村省级3个、市级6个；持续推进104国道沿线及东部区域人居环境整治，加大督促指导力度，建立健全长效管护机制，提升全域农村人居环境；持续推进农村改厕后续管护工作，稳妥开展“厕所革命”整村推进工作。四是加快重大基础设施建设。</w:t>
      </w:r>
      <w:r>
        <w:rPr>
          <w:rFonts w:hint="eastAsia" w:ascii="仿宋_GB2312" w:eastAsia="仿宋_GB2312"/>
          <w:color w:val="000000"/>
          <w:kern w:val="0"/>
          <w:sz w:val="32"/>
          <w:szCs w:val="32"/>
        </w:rPr>
        <w:t>加快推进S104济微线肥城宁阳界至宁阳兖州界段改建工程、G342日凤线宁阳县磁窑公铁立交至保安煤矿间部分路段修复养护项目，合理制定施工计划，狠抓工程施工质量，确保各项工程高标准顺利开展</w:t>
      </w:r>
      <w:r>
        <w:rPr>
          <w:rFonts w:hint="eastAsia" w:ascii="仿宋_GB2312" w:eastAsia="仿宋_GB2312"/>
          <w:color w:val="000000"/>
          <w:kern w:val="0"/>
          <w:sz w:val="32"/>
          <w:szCs w:val="32"/>
          <w:lang w:eastAsia="zh-CN"/>
        </w:rPr>
        <w:t>。</w:t>
      </w:r>
    </w:p>
    <w:p>
      <w:pPr>
        <w:keepNext w:val="0"/>
        <w:keepLines w:val="0"/>
        <w:pageBreakBefore w:val="0"/>
        <w:kinsoku/>
        <w:wordWrap/>
        <w:overflowPunct/>
        <w:topLinePunct w:val="0"/>
        <w:autoSpaceDE/>
        <w:autoSpaceDN/>
        <w:bidi w:val="0"/>
        <w:adjustRightInd/>
        <w:snapToGrid w:val="0"/>
        <w:spacing w:line="560" w:lineRule="exact"/>
        <w:ind w:right="0" w:firstLine="640" w:firstLineChars="200"/>
        <w:textAlignment w:val="auto"/>
        <w:rPr>
          <w:rFonts w:hint="eastAsia" w:ascii="楷体_GB2312" w:eastAsia="楷体_GB2312"/>
          <w:bCs/>
          <w:color w:val="000000"/>
          <w:kern w:val="0"/>
          <w:sz w:val="32"/>
          <w:szCs w:val="32"/>
        </w:rPr>
      </w:pPr>
      <w:r>
        <w:rPr>
          <w:rFonts w:hint="eastAsia" w:ascii="楷体_GB2312" w:eastAsia="楷体_GB2312"/>
          <w:bCs/>
          <w:color w:val="000000"/>
          <w:kern w:val="0"/>
          <w:sz w:val="32"/>
          <w:szCs w:val="32"/>
        </w:rPr>
        <w:t>（</w:t>
      </w:r>
      <w:r>
        <w:rPr>
          <w:rFonts w:hint="eastAsia" w:ascii="楷体_GB2312" w:eastAsia="楷体_GB2312"/>
          <w:bCs/>
          <w:color w:val="000000"/>
          <w:kern w:val="0"/>
          <w:sz w:val="32"/>
          <w:szCs w:val="32"/>
          <w:lang w:val="en-US" w:eastAsia="zh-CN"/>
        </w:rPr>
        <w:t>六</w:t>
      </w:r>
      <w:r>
        <w:rPr>
          <w:rFonts w:hint="eastAsia" w:ascii="楷体_GB2312" w:eastAsia="楷体_GB2312"/>
          <w:bCs/>
          <w:color w:val="000000"/>
          <w:kern w:val="0"/>
          <w:sz w:val="32"/>
          <w:szCs w:val="32"/>
        </w:rPr>
        <w:t>）</w:t>
      </w:r>
      <w:r>
        <w:rPr>
          <w:rFonts w:hint="eastAsia" w:ascii="楷体_GB2312" w:eastAsia="楷体_GB2312"/>
          <w:bCs/>
          <w:color w:val="000000"/>
          <w:kern w:val="0"/>
          <w:sz w:val="32"/>
          <w:szCs w:val="32"/>
          <w:lang w:val="en-US" w:eastAsia="zh-CN"/>
        </w:rPr>
        <w:t>扎实推进文明城市创建</w:t>
      </w:r>
      <w:r>
        <w:rPr>
          <w:rFonts w:hint="eastAsia" w:ascii="楷体_GB2312" w:eastAsia="楷体_GB2312"/>
          <w:bCs/>
          <w:color w:val="000000"/>
          <w:kern w:val="0"/>
          <w:sz w:val="32"/>
          <w:szCs w:val="32"/>
        </w:rPr>
        <w:t>，</w:t>
      </w:r>
      <w:r>
        <w:rPr>
          <w:rFonts w:hint="eastAsia" w:ascii="楷体_GB2312" w:eastAsia="楷体_GB2312"/>
          <w:bCs/>
          <w:color w:val="000000"/>
          <w:kern w:val="0"/>
          <w:sz w:val="32"/>
          <w:szCs w:val="32"/>
          <w:lang w:val="en-US" w:eastAsia="zh-CN"/>
        </w:rPr>
        <w:t>在推动</w:t>
      </w:r>
      <w:r>
        <w:rPr>
          <w:rFonts w:hint="eastAsia" w:ascii="楷体_GB2312" w:eastAsia="楷体_GB2312"/>
          <w:bCs/>
          <w:color w:val="000000"/>
          <w:kern w:val="0"/>
          <w:sz w:val="32"/>
          <w:szCs w:val="32"/>
        </w:rPr>
        <w:t>城乡融合发展</w:t>
      </w:r>
      <w:r>
        <w:rPr>
          <w:rFonts w:hint="eastAsia" w:ascii="楷体_GB2312" w:eastAsia="楷体_GB2312"/>
          <w:bCs/>
          <w:color w:val="000000"/>
          <w:kern w:val="0"/>
          <w:sz w:val="32"/>
          <w:szCs w:val="32"/>
          <w:lang w:val="en-US" w:eastAsia="zh-CN"/>
        </w:rPr>
        <w:t>上聚焦用力</w:t>
      </w:r>
      <w:r>
        <w:rPr>
          <w:rFonts w:hint="eastAsia" w:ascii="楷体_GB2312" w:eastAsia="楷体_GB2312"/>
          <w:bCs/>
          <w:color w:val="000000"/>
          <w:kern w:val="0"/>
          <w:sz w:val="32"/>
          <w:szCs w:val="32"/>
        </w:rPr>
        <w:t>。</w:t>
      </w:r>
      <w:r>
        <w:rPr>
          <w:rFonts w:hint="eastAsia" w:ascii="仿宋_GB2312" w:eastAsia="仿宋_GB2312"/>
          <w:color w:val="000000"/>
          <w:kern w:val="0"/>
          <w:sz w:val="32"/>
          <w:szCs w:val="32"/>
        </w:rPr>
        <w:t>突出文明城市创建重要抓手，扎实推进以县城为重要载体的新型城镇化建设，强化区域协同发展，加快构建“两翼齐飞”发展新格局。一是持续提升城市承载力。优化城区路网</w:t>
      </w:r>
      <w:r>
        <w:rPr>
          <w:rFonts w:hint="eastAsia" w:ascii="仿宋_GB2312" w:eastAsia="仿宋_GB2312"/>
          <w:color w:val="000000"/>
          <w:kern w:val="0"/>
          <w:sz w:val="32"/>
          <w:szCs w:val="32"/>
          <w:lang w:eastAsia="zh-CN"/>
        </w:rPr>
        <w:t>，</w:t>
      </w:r>
      <w:r>
        <w:rPr>
          <w:rFonts w:hint="eastAsia" w:ascii="仿宋_GB2312" w:eastAsia="仿宋_GB2312"/>
          <w:color w:val="000000"/>
          <w:kern w:val="0"/>
          <w:sz w:val="32"/>
          <w:szCs w:val="32"/>
          <w:lang w:val="en-US" w:eastAsia="zh-CN"/>
        </w:rPr>
        <w:t>完成机场大道南延、兴隆街东延、廖桥街东段等城市道路新建。提升基础设施维护</w:t>
      </w:r>
      <w:r>
        <w:rPr>
          <w:rFonts w:hint="eastAsia" w:ascii="仿宋_GB2312" w:eastAsia="仿宋_GB2312"/>
          <w:color w:val="000000"/>
          <w:kern w:val="0"/>
          <w:sz w:val="32"/>
          <w:szCs w:val="32"/>
          <w:lang w:eastAsia="zh-CN"/>
        </w:rPr>
        <w:t>，</w:t>
      </w:r>
      <w:r>
        <w:rPr>
          <w:rFonts w:hint="eastAsia" w:ascii="仿宋_GB2312" w:eastAsia="仿宋_GB2312"/>
          <w:color w:val="000000"/>
          <w:kern w:val="0"/>
          <w:sz w:val="32"/>
          <w:szCs w:val="32"/>
          <w:lang w:val="en-US" w:eastAsia="zh-CN"/>
        </w:rPr>
        <w:t>推进老城区人行道、非机动车道缺失的路段进行设施完善，整修部分门前广场，背街小巷，</w:t>
      </w:r>
      <w:r>
        <w:rPr>
          <w:rFonts w:hint="eastAsia" w:ascii="仿宋_GB2312" w:eastAsia="仿宋_GB2312"/>
          <w:color w:val="auto"/>
          <w:kern w:val="0"/>
          <w:sz w:val="32"/>
          <w:szCs w:val="32"/>
          <w:lang w:val="en-US" w:eastAsia="zh-CN"/>
        </w:rPr>
        <w:t>开展海力大道西侧、人民路北侧2处口袋公园和绿化节点提升项目，进一步提升人居环境。</w:t>
      </w:r>
      <w:r>
        <w:rPr>
          <w:rFonts w:hint="eastAsia" w:ascii="仿宋_GB2312" w:eastAsia="仿宋_GB2312"/>
          <w:color w:val="000000"/>
          <w:kern w:val="0"/>
          <w:sz w:val="32"/>
          <w:szCs w:val="32"/>
        </w:rPr>
        <w:t>二是织密城市管护体系。持续推进城区老旧供水主管网及老旧小区供水管网改造，全力推进老旧小区户表改造工程，提升供水保障能力。持续推动老化燃气管道更新改造，做到随查随改，确保实现管道老化问题动态清零。继续推进供热管线巡检维修，加强热源统筹、做好系统调试、改进服务质量，确保城区供暖期季供热持续稳定，更好保障群众温暖过冬。</w:t>
      </w:r>
      <w:r>
        <w:rPr>
          <w:rFonts w:hint="eastAsia" w:ascii="仿宋_GB2312" w:eastAsia="仿宋_GB2312"/>
          <w:color w:val="000000"/>
          <w:kern w:val="0"/>
          <w:sz w:val="32"/>
          <w:szCs w:val="32"/>
          <w:lang w:eastAsia="zh-CN"/>
        </w:rPr>
        <w:t>完成</w:t>
      </w:r>
      <w:r>
        <w:rPr>
          <w:rFonts w:hint="eastAsia" w:ascii="仿宋_GB2312" w:eastAsia="仿宋_GB2312"/>
          <w:color w:val="000000"/>
          <w:kern w:val="0"/>
          <w:sz w:val="32"/>
          <w:szCs w:val="32"/>
        </w:rPr>
        <w:t>华阳河（南关段）开挖连通、府前河（亿丰城段）开挖连通等城区防洪排涝改造工程，进一步完善城区排水设施，提升城市排水防涝能力。</w:t>
      </w:r>
      <w:r>
        <w:rPr>
          <w:rFonts w:hint="eastAsia" w:ascii="仿宋_GB2312" w:eastAsia="仿宋_GB2312"/>
          <w:color w:val="000000"/>
          <w:kern w:val="0"/>
          <w:sz w:val="32"/>
          <w:szCs w:val="32"/>
          <w:lang w:eastAsia="zh-CN"/>
        </w:rPr>
        <w:t>三</w:t>
      </w:r>
      <w:r>
        <w:rPr>
          <w:rFonts w:hint="eastAsia" w:ascii="仿宋_GB2312" w:eastAsia="仿宋_GB2312"/>
          <w:color w:val="000000"/>
          <w:kern w:val="0"/>
          <w:sz w:val="32"/>
          <w:szCs w:val="32"/>
        </w:rPr>
        <w:t>是推动区域协同发展。强化省级高新区发展带动作用，突出区镇合一、以城带产、产城融合，推动高新区与西部镇街资源互通、产业互链，构建“一区两街七乡镇”西部一体化发展新格局。完善宁东一体化发展管理委员会工作推进机制，推动东部“一区四镇”产业协同、功能互补、发展共享，形成“两翼齐飞”引领县域发展的强大动能。</w:t>
      </w:r>
    </w:p>
    <w:p>
      <w:pPr>
        <w:keepNext w:val="0"/>
        <w:keepLines w:val="0"/>
        <w:pageBreakBefore w:val="0"/>
        <w:tabs>
          <w:tab w:val="left" w:pos="739"/>
        </w:tabs>
        <w:kinsoku/>
        <w:wordWrap/>
        <w:overflowPunct/>
        <w:topLinePunct w:val="0"/>
        <w:autoSpaceDE/>
        <w:autoSpaceDN/>
        <w:bidi w:val="0"/>
        <w:adjustRightInd/>
        <w:snapToGrid/>
        <w:spacing w:line="560" w:lineRule="exact"/>
        <w:ind w:right="0" w:firstLine="640" w:firstLineChars="200"/>
        <w:jc w:val="left"/>
        <w:textAlignment w:val="auto"/>
        <w:rPr>
          <w:rFonts w:hint="eastAsia" w:ascii="楷体_GB2312" w:eastAsia="楷体_GB2312"/>
          <w:bCs/>
          <w:color w:val="000000"/>
          <w:kern w:val="0"/>
          <w:sz w:val="32"/>
          <w:szCs w:val="32"/>
        </w:rPr>
      </w:pPr>
      <w:r>
        <w:rPr>
          <w:rFonts w:hint="eastAsia" w:ascii="楷体_GB2312" w:eastAsia="楷体_GB2312"/>
          <w:bCs/>
          <w:color w:val="000000"/>
          <w:kern w:val="0"/>
          <w:sz w:val="32"/>
          <w:szCs w:val="32"/>
        </w:rPr>
        <w:t>（</w:t>
      </w:r>
      <w:r>
        <w:rPr>
          <w:rFonts w:hint="eastAsia" w:ascii="楷体_GB2312" w:eastAsia="楷体_GB2312"/>
          <w:bCs/>
          <w:color w:val="000000"/>
          <w:kern w:val="0"/>
          <w:sz w:val="32"/>
          <w:szCs w:val="32"/>
          <w:lang w:val="en-US" w:eastAsia="zh-CN"/>
        </w:rPr>
        <w:t>七</w:t>
      </w:r>
      <w:r>
        <w:rPr>
          <w:rFonts w:hint="eastAsia" w:ascii="楷体_GB2312" w:eastAsia="楷体_GB2312"/>
          <w:bCs/>
          <w:color w:val="000000"/>
          <w:kern w:val="0"/>
          <w:sz w:val="32"/>
          <w:szCs w:val="32"/>
        </w:rPr>
        <w:t>）</w:t>
      </w:r>
      <w:r>
        <w:rPr>
          <w:rFonts w:hint="eastAsia" w:ascii="楷体_GB2312" w:eastAsia="楷体_GB2312"/>
          <w:bCs/>
          <w:color w:val="000000"/>
          <w:kern w:val="0"/>
          <w:sz w:val="32"/>
          <w:szCs w:val="32"/>
          <w:lang w:eastAsia="zh-CN"/>
        </w:rPr>
        <w:t>扎实推进</w:t>
      </w:r>
      <w:r>
        <w:rPr>
          <w:rFonts w:hint="eastAsia" w:ascii="楷体_GB2312" w:eastAsia="楷体_GB2312"/>
          <w:bCs/>
          <w:color w:val="000000"/>
          <w:kern w:val="0"/>
          <w:sz w:val="32"/>
          <w:szCs w:val="32"/>
        </w:rPr>
        <w:t>改革创新开放，</w:t>
      </w:r>
      <w:r>
        <w:rPr>
          <w:rFonts w:hint="eastAsia" w:ascii="楷体_GB2312" w:eastAsia="楷体_GB2312"/>
          <w:bCs/>
          <w:color w:val="000000"/>
          <w:kern w:val="0"/>
          <w:sz w:val="32"/>
          <w:szCs w:val="32"/>
          <w:lang w:val="en-US" w:eastAsia="zh-CN"/>
        </w:rPr>
        <w:t>在激发</w:t>
      </w:r>
      <w:r>
        <w:rPr>
          <w:rFonts w:hint="eastAsia" w:ascii="楷体_GB2312" w:eastAsia="楷体_GB2312"/>
          <w:bCs/>
          <w:color w:val="000000"/>
          <w:kern w:val="0"/>
          <w:sz w:val="32"/>
          <w:szCs w:val="32"/>
        </w:rPr>
        <w:t>经济发展活力</w:t>
      </w:r>
      <w:r>
        <w:rPr>
          <w:rFonts w:hint="eastAsia" w:ascii="楷体_GB2312" w:eastAsia="楷体_GB2312"/>
          <w:bCs/>
          <w:color w:val="000000"/>
          <w:kern w:val="0"/>
          <w:sz w:val="32"/>
          <w:szCs w:val="32"/>
          <w:lang w:val="en-US" w:eastAsia="zh-CN"/>
        </w:rPr>
        <w:t>上聚焦用力。</w:t>
      </w:r>
      <w:r>
        <w:rPr>
          <w:rFonts w:hint="eastAsia" w:ascii="仿宋_GB2312" w:eastAsia="仿宋_GB2312"/>
          <w:color w:val="000000"/>
          <w:kern w:val="0"/>
          <w:sz w:val="32"/>
          <w:szCs w:val="32"/>
          <w:lang w:val="en-US" w:eastAsia="zh-CN"/>
        </w:rPr>
        <w:t>坚持向改革要动力，向开放要活力，统筹推进深层次改革和高水平开放，推动宁阳发展动能更足、效益更好。一是持续深化“高效办成一件事”改革。进一步健全“高效办成一件事”常态化推进机制，巩固2024年两批重点事项成果，全面落实2025年任务清单。推进新房购置、开办药店等新一批宁阳特色“一件事”落实落地。推动“园区事 园区办”、企业项目全生命周期服务提档升级，不断提升政务服务标准化、规范化、便利化、数字化水平，实现国家及省定“一件事”能办率100%、好办易办率90%以上，政务服务事项的首办成功率90%以上、按时办结率99%以上的“1999”工作目标。二是推进高水平对外开放。制定支持企业对外开放高质量“走出去”扶持政策。持续培植重点外贸主体，发挥稳外贸企业服务队作用，重点培植亚荣化学、华阳农药、天源服装等20家外贸骨干企业，强化物流、融资、用工等要素保障，促进骨干企业进出口持续增长。重点培植正盈国际、盛强新材料等20家外贸潜力企业，持续扩大进出口企业规模和体量。三是加快发展外贸新业态。指导凌云商社、鑫起点等企业加快发展跨境电商进出口业务，打造外贸综合服务生态圈，推动我县现代食品、纺织服装、机电设备、日用百货、汽摩配件等特色产品“</w:t>
      </w:r>
      <w:r>
        <w:rPr>
          <w:rFonts w:ascii="仿宋_GB2312" w:eastAsia="仿宋_GB2312"/>
          <w:color w:val="000000"/>
          <w:kern w:val="0"/>
          <w:sz w:val="32"/>
          <w:szCs w:val="32"/>
          <w:lang w:val="en-US" w:eastAsia="zh-CN"/>
        </w:rPr>
        <w:t>出海</w:t>
      </w:r>
      <w:r>
        <w:rPr>
          <w:rFonts w:hint="eastAsia" w:ascii="仿宋_GB2312" w:eastAsia="仿宋_GB2312"/>
          <w:color w:val="000000"/>
          <w:kern w:val="0"/>
          <w:sz w:val="32"/>
          <w:szCs w:val="32"/>
          <w:lang w:val="en-US" w:eastAsia="zh-CN"/>
        </w:rPr>
        <w:t>”，助力我县跨境电商实现新突破。围绕推动“走出去”和“引进来”，实施“企业家出海行动”，组织振挺精工、腾飞机械等企业参加工程机械、建材化工等重点展会，助力企业开拓市场、收获订单。</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hint="eastAsia" w:ascii="楷体_GB2312" w:eastAsia="楷体_GB2312"/>
          <w:bCs/>
          <w:color w:val="000000"/>
          <w:kern w:val="0"/>
          <w:sz w:val="32"/>
          <w:szCs w:val="32"/>
        </w:rPr>
      </w:pPr>
      <w:r>
        <w:rPr>
          <w:rFonts w:hint="eastAsia" w:ascii="楷体_GB2312" w:eastAsia="楷体_GB2312"/>
          <w:bCs/>
          <w:color w:val="000000"/>
          <w:kern w:val="0"/>
          <w:sz w:val="32"/>
          <w:szCs w:val="32"/>
        </w:rPr>
        <w:t>（</w:t>
      </w:r>
      <w:r>
        <w:rPr>
          <w:rFonts w:hint="eastAsia" w:ascii="楷体_GB2312" w:eastAsia="楷体_GB2312"/>
          <w:bCs/>
          <w:color w:val="000000"/>
          <w:kern w:val="0"/>
          <w:sz w:val="32"/>
          <w:szCs w:val="32"/>
          <w:lang w:val="en-US" w:eastAsia="zh-CN"/>
        </w:rPr>
        <w:t>八</w:t>
      </w:r>
      <w:r>
        <w:rPr>
          <w:rFonts w:hint="eastAsia" w:ascii="楷体_GB2312" w:eastAsia="楷体_GB2312"/>
          <w:bCs/>
          <w:color w:val="000000"/>
          <w:kern w:val="0"/>
          <w:sz w:val="32"/>
          <w:szCs w:val="32"/>
        </w:rPr>
        <w:t>）</w:t>
      </w:r>
      <w:r>
        <w:rPr>
          <w:rFonts w:hint="eastAsia" w:ascii="楷体_GB2312" w:eastAsia="楷体_GB2312"/>
          <w:bCs/>
          <w:color w:val="000000"/>
          <w:kern w:val="0"/>
          <w:sz w:val="32"/>
          <w:szCs w:val="32"/>
          <w:lang w:eastAsia="zh-CN"/>
        </w:rPr>
        <w:t>扎实推进</w:t>
      </w:r>
      <w:r>
        <w:rPr>
          <w:rFonts w:hint="eastAsia" w:ascii="楷体_GB2312" w:eastAsia="楷体_GB2312"/>
          <w:bCs/>
          <w:color w:val="000000"/>
          <w:kern w:val="0"/>
          <w:sz w:val="32"/>
          <w:szCs w:val="32"/>
          <w:lang w:val="en-US" w:eastAsia="zh-CN"/>
        </w:rPr>
        <w:t>社会</w:t>
      </w:r>
      <w:r>
        <w:rPr>
          <w:rFonts w:hint="eastAsia" w:ascii="楷体_GB2312" w:eastAsia="楷体_GB2312"/>
          <w:bCs/>
          <w:color w:val="000000"/>
          <w:kern w:val="0"/>
          <w:sz w:val="32"/>
          <w:szCs w:val="32"/>
        </w:rPr>
        <w:t>民生</w:t>
      </w:r>
      <w:r>
        <w:rPr>
          <w:rFonts w:hint="eastAsia" w:ascii="楷体_GB2312" w:eastAsia="楷体_GB2312"/>
          <w:bCs/>
          <w:color w:val="000000"/>
          <w:kern w:val="0"/>
          <w:sz w:val="32"/>
          <w:szCs w:val="32"/>
          <w:lang w:val="en-US" w:eastAsia="zh-CN"/>
        </w:rPr>
        <w:t>保障</w:t>
      </w:r>
      <w:r>
        <w:rPr>
          <w:rFonts w:hint="eastAsia" w:ascii="楷体_GB2312" w:eastAsia="楷体_GB2312"/>
          <w:bCs/>
          <w:color w:val="000000"/>
          <w:kern w:val="0"/>
          <w:sz w:val="32"/>
          <w:szCs w:val="32"/>
        </w:rPr>
        <w:t>，</w:t>
      </w:r>
      <w:r>
        <w:rPr>
          <w:rFonts w:hint="eastAsia" w:ascii="楷体_GB2312" w:eastAsia="楷体_GB2312"/>
          <w:bCs/>
          <w:color w:val="000000"/>
          <w:kern w:val="0"/>
          <w:sz w:val="32"/>
          <w:szCs w:val="32"/>
          <w:lang w:val="en-US" w:eastAsia="zh-CN"/>
        </w:rPr>
        <w:t>在</w:t>
      </w:r>
      <w:r>
        <w:rPr>
          <w:rFonts w:hint="eastAsia" w:ascii="楷体_GB2312" w:hAnsi="Times New Roman" w:eastAsia="楷体_GB2312"/>
          <w:bCs/>
          <w:color w:val="000000"/>
          <w:kern w:val="0"/>
          <w:sz w:val="32"/>
          <w:szCs w:val="32"/>
          <w:lang w:val="en-US" w:eastAsia="zh-CN"/>
        </w:rPr>
        <w:t>提升群众幸福指数上</w:t>
      </w:r>
      <w:r>
        <w:rPr>
          <w:rFonts w:hint="eastAsia" w:ascii="楷体_GB2312" w:eastAsia="楷体_GB2312"/>
          <w:bCs/>
          <w:color w:val="000000"/>
          <w:kern w:val="0"/>
          <w:sz w:val="32"/>
          <w:szCs w:val="32"/>
          <w:lang w:val="en-US" w:eastAsia="zh-CN"/>
        </w:rPr>
        <w:t>聚焦用力。</w:t>
      </w:r>
      <w:r>
        <w:rPr>
          <w:rFonts w:hint="eastAsia" w:ascii="仿宋_GB2312" w:eastAsia="仿宋_GB2312"/>
          <w:color w:val="000000"/>
          <w:kern w:val="0"/>
          <w:sz w:val="32"/>
          <w:szCs w:val="32"/>
          <w:lang w:val="en-US" w:eastAsia="zh-CN"/>
        </w:rPr>
        <w:t>树牢造福人民的政绩观，坚持尽力而为、量力而行，用心办好民生实事，让发展成果更好惠及全县人民。一是提升社会保障水平。坚持就业优先，抓好重点群体就业，促进城乡统筹就业，突出创业带动就业，确保城镇新增就业5500人以上。优化创业服务，举办创业活动，加大创业担保贷款和“泰岗贷”扶持力度。加强高校毕业生等青年就业支持，拓展就业岗位，构建衔接校内外的服务体系。加强脱贫人口、大龄农村劳动力、就业困难人员帮扶，完善就业援助制度，兜住兜准兜牢就业底线。提高大病商业补充保险补助标准，减轻困难群体生活负担。健全公共服务体系，强化数字赋能和基层治理，打造“家门口”就业服务站。继续推动大病商业补充医疗保险向困难群体倾斜，提高大病商业补充医疗保险补助标准，减轻困难群体生活负担。</w:t>
      </w:r>
      <w:r>
        <w:rPr>
          <w:rFonts w:hint="eastAsia" w:ascii="仿宋_GB2312" w:eastAsia="仿宋_GB2312"/>
          <w:color w:val="000000"/>
          <w:kern w:val="0"/>
          <w:sz w:val="32"/>
          <w:szCs w:val="32"/>
        </w:rPr>
        <w:t>进一步健全覆盖城乡的养服务体系，稳妥推进老年助餐服务发展；持续做好困难群体救助，提升城乡低保、城乡特困保障水平；不断</w:t>
      </w:r>
      <w:r>
        <w:rPr>
          <w:rFonts w:hint="eastAsia" w:ascii="仿宋_GB2312" w:eastAsia="仿宋_GB2312"/>
          <w:color w:val="000000"/>
          <w:kern w:val="0"/>
          <w:sz w:val="32"/>
          <w:szCs w:val="32"/>
          <w:lang w:val="en-US" w:eastAsia="zh-CN"/>
        </w:rPr>
        <w:t>深化</w:t>
      </w:r>
      <w:r>
        <w:rPr>
          <w:rFonts w:hint="eastAsia" w:ascii="仿宋_GB2312" w:eastAsia="仿宋_GB2312"/>
          <w:color w:val="000000"/>
          <w:kern w:val="0"/>
          <w:sz w:val="32"/>
          <w:szCs w:val="32"/>
        </w:rPr>
        <w:t>惠民殡葬丧俗改革，促进移风易俗。</w:t>
      </w:r>
      <w:r>
        <w:rPr>
          <w:rFonts w:hint="eastAsia" w:ascii="仿宋_GB2312" w:eastAsia="仿宋_GB2312"/>
          <w:color w:val="000000"/>
          <w:kern w:val="0"/>
          <w:sz w:val="32"/>
          <w:szCs w:val="32"/>
          <w:lang w:val="en-US" w:eastAsia="zh-CN"/>
        </w:rPr>
        <w:t>二是突出发展社会事业。高标准编制“十五五”规划，以高质量规划引领经济社会高质量发展。锚定重振宁阳教育雄风目标，实施教育振兴三年攻坚计划，全面提高教育教学质量。优化师资配置，锻造高素质教研员队伍，优化初高中一体化“清北”突破工作机制。实施新时代立德树人工程，推行“首课思政负责制”，强化科技、体育、劳动等教育，构建家校社协同育人体系。推进教育资源整合，统筹撤并学校资源再利用。开展校园餐及周边环境专项整治，构建全链条校园安全防护体系。推进医共体信息平台软硬件建设工作，完成医共体硬件等标准参数制定。三是协同推进降碳减污扩绿增长。突出黄河重大国家战略，统筹能源转型、污染治理和生态保护，坚定不移走好绿色发展之路。全</w:t>
      </w:r>
      <w:r>
        <w:rPr>
          <w:rFonts w:hint="eastAsia" w:ascii="仿宋_GB2312" w:eastAsia="仿宋_GB2312"/>
          <w:color w:val="000000"/>
          <w:kern w:val="0"/>
          <w:sz w:val="32"/>
          <w:szCs w:val="32"/>
        </w:rPr>
        <w:t>面贯彻黄河流域生态保护和高质量发展先行区建设工作部署，打造宁阳特色经验、发展样板。</w:t>
      </w:r>
      <w:r>
        <w:rPr>
          <w:rFonts w:hint="eastAsia" w:ascii="仿宋_GB2312" w:eastAsia="仿宋_GB2312"/>
          <w:color w:val="000000"/>
          <w:kern w:val="0"/>
          <w:sz w:val="32"/>
          <w:szCs w:val="32"/>
          <w:lang w:val="en-US" w:eastAsia="zh-CN"/>
        </w:rPr>
        <w:t>常态化抓好河湖“四乱”、畜禽污染排查整治，巩固提升农村生活污水治理成效。强力推进省生态环保督察反馈问题整改，以扎实的整改成效迎接第三轮中央生态环保督察。四是全力守牢一排底线。统筹高质量发展和高水平安全，严格落实安全生产“四主责任”，抓好食品药品监管、森林防火、防汛抗旱等工作，切实保障人民群众生命财产安全。强化信访问题源头治理，推进信访工作法治化。完善政府债务动态监测和风险评估预警机制，防范化解金融风险。坚持和发展新时代“枫桥经验”，深</w:t>
      </w:r>
      <w:r>
        <w:rPr>
          <w:rFonts w:hint="eastAsia" w:ascii="仿宋_GB2312" w:eastAsia="仿宋_GB2312"/>
          <w:color w:val="000000"/>
          <w:kern w:val="0"/>
          <w:sz w:val="32"/>
          <w:szCs w:val="32"/>
        </w:rPr>
        <w:t>化以“四新”为核心的公安改革创新，加快提升公安机关新质战斗力</w:t>
      </w:r>
      <w:r>
        <w:rPr>
          <w:rFonts w:hint="eastAsia" w:ascii="仿宋_GB2312" w:eastAsia="仿宋_GB2312"/>
          <w:color w:val="000000"/>
          <w:kern w:val="0"/>
          <w:sz w:val="32"/>
          <w:szCs w:val="32"/>
          <w:lang w:eastAsia="zh-CN"/>
        </w:rPr>
        <w:t>。</w:t>
      </w:r>
      <w:r>
        <w:rPr>
          <w:rFonts w:hint="eastAsia" w:ascii="仿宋_GB2312" w:eastAsia="仿宋_GB2312"/>
          <w:color w:val="000000"/>
          <w:kern w:val="0"/>
          <w:sz w:val="32"/>
          <w:szCs w:val="32"/>
        </w:rPr>
        <w:t>完善社会治安整体防控体系，常态化推进扫黑除恶，严厉打击各类违法犯罪，</w:t>
      </w:r>
      <w:r>
        <w:rPr>
          <w:rFonts w:hint="eastAsia" w:ascii="仿宋_GB2312" w:eastAsia="仿宋_GB2312"/>
          <w:color w:val="000000"/>
          <w:kern w:val="0"/>
          <w:sz w:val="32"/>
          <w:szCs w:val="32"/>
          <w:lang w:val="en-US" w:eastAsia="zh-CN"/>
        </w:rPr>
        <w:t>建设更高水平的平安宁阳。五是坚持依法行政。牢固树立“法治化、市场化、系统化”三种理念，严格落实重大行政决策法定程序，积极开展依法行政示范创建。自觉接受人大法律监督、政协民主监督和社会监督，加强诚信政府建设，推进政府失信专项治理，始终让阳光透视权力、让权力为人民服务。</w:t>
      </w:r>
    </w:p>
    <w:p>
      <w:pPr>
        <w:keepNext w:val="0"/>
        <w:keepLines w:val="0"/>
        <w:pageBreakBefore w:val="0"/>
        <w:kinsoku/>
        <w:wordWrap/>
        <w:overflowPunct/>
        <w:topLinePunct w:val="0"/>
        <w:autoSpaceDE/>
        <w:autoSpaceDN/>
        <w:bidi w:val="0"/>
        <w:adjustRightInd/>
        <w:snapToGrid/>
        <w:spacing w:line="560" w:lineRule="exact"/>
        <w:ind w:right="0" w:firstLine="640"/>
        <w:jc w:val="both"/>
        <w:textAlignment w:val="auto"/>
        <w:rPr>
          <w:rFonts w:hint="eastAsia" w:ascii="仿宋_GB2312" w:eastAsia="仿宋_GB2312"/>
          <w:color w:val="000000"/>
          <w:kern w:val="0"/>
          <w:sz w:val="32"/>
          <w:szCs w:val="32"/>
        </w:rPr>
      </w:pPr>
      <w:r>
        <w:rPr>
          <w:rFonts w:hint="eastAsia" w:ascii="仿宋_GB2312" w:eastAsia="仿宋_GB2312"/>
          <w:color w:val="000000"/>
          <w:kern w:val="0"/>
          <w:sz w:val="32"/>
          <w:szCs w:val="32"/>
        </w:rPr>
        <w:t>各位代表，做好今年的各项工作，任务艰巨、意义重大，全县各级要在县委的坚强领导下，</w:t>
      </w:r>
      <w:r>
        <w:rPr>
          <w:rFonts w:hint="eastAsia" w:ascii="仿宋_GB2312" w:eastAsia="仿宋_GB2312"/>
          <w:color w:val="000000"/>
          <w:kern w:val="0"/>
          <w:sz w:val="32"/>
          <w:szCs w:val="32"/>
          <w:lang w:eastAsia="zh-CN"/>
        </w:rPr>
        <w:t>登高望远、奋力争先，勇毅前行、攻坚突破，努力开创新时代社会主义现代化强县建设新局面。</w:t>
      </w:r>
    </w:p>
    <w:p>
      <w:pPr>
        <w:keepNext w:val="0"/>
        <w:keepLines w:val="0"/>
        <w:pageBreakBefore w:val="0"/>
        <w:kinsoku/>
        <w:wordWrap/>
        <w:overflowPunct/>
        <w:topLinePunct w:val="0"/>
        <w:autoSpaceDE/>
        <w:autoSpaceDN/>
        <w:bidi w:val="0"/>
        <w:snapToGrid/>
        <w:spacing w:line="600" w:lineRule="exact"/>
        <w:ind w:right="0" w:firstLine="640"/>
        <w:jc w:val="both"/>
        <w:rPr>
          <w:rFonts w:hint="eastAsia" w:ascii="仿宋_GB2312" w:eastAsia="仿宋_GB2312"/>
          <w:bCs/>
          <w:color w:val="000000"/>
          <w:kern w:val="0"/>
          <w:sz w:val="32"/>
          <w:lang w:eastAsia="zh-CN"/>
        </w:rPr>
      </w:pPr>
    </w:p>
    <w:p>
      <w:pPr>
        <w:keepNext w:val="0"/>
        <w:keepLines w:val="0"/>
        <w:pageBreakBefore w:val="0"/>
        <w:kinsoku/>
        <w:wordWrap/>
        <w:overflowPunct/>
        <w:topLinePunct w:val="0"/>
        <w:autoSpaceDE/>
        <w:autoSpaceDN/>
        <w:bidi w:val="0"/>
        <w:snapToGrid/>
        <w:spacing w:line="600" w:lineRule="exact"/>
        <w:ind w:right="0" w:firstLine="640"/>
        <w:jc w:val="both"/>
        <w:rPr>
          <w:rFonts w:hint="eastAsia" w:ascii="仿宋_GB2312" w:eastAsia="仿宋_GB2312"/>
          <w:bCs/>
          <w:color w:val="000000"/>
          <w:kern w:val="0"/>
          <w:sz w:val="32"/>
          <w:lang w:eastAsia="zh-CN"/>
        </w:rPr>
      </w:pPr>
    </w:p>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仿宋_GB2312" w:eastAsia="仿宋_GB2312"/>
          <w:bCs/>
          <w:snapToGrid w:val="0"/>
          <w:color w:val="auto"/>
          <w:kern w:val="0"/>
          <w:sz w:val="32"/>
          <w:highlight w:val="none"/>
          <w:lang w:eastAsia="zh-CN"/>
        </w:rPr>
      </w:pPr>
    </w:p>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仿宋_GB2312" w:eastAsia="仿宋_GB2312"/>
          <w:bCs/>
          <w:snapToGrid w:val="0"/>
          <w:color w:val="auto"/>
          <w:kern w:val="0"/>
          <w:sz w:val="32"/>
          <w:highlight w:val="none"/>
          <w:lang w:eastAsia="zh-CN"/>
        </w:rPr>
      </w:pPr>
    </w:p>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仿宋_GB2312" w:eastAsia="仿宋_GB2312"/>
          <w:bCs/>
          <w:snapToGrid w:val="0"/>
          <w:color w:val="auto"/>
          <w:kern w:val="0"/>
          <w:sz w:val="32"/>
          <w:highlight w:val="none"/>
          <w:lang w:eastAsia="zh-CN"/>
        </w:rPr>
      </w:pPr>
    </w:p>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仿宋_GB2312" w:eastAsia="仿宋_GB2312"/>
          <w:bCs/>
          <w:snapToGrid w:val="0"/>
          <w:color w:val="auto"/>
          <w:kern w:val="0"/>
          <w:sz w:val="32"/>
          <w:highlight w:val="none"/>
          <w:lang w:eastAsia="zh-CN"/>
        </w:rPr>
      </w:pPr>
    </w:p>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仿宋_GB2312" w:eastAsia="仿宋_GB2312"/>
          <w:bCs/>
          <w:snapToGrid w:val="0"/>
          <w:color w:val="auto"/>
          <w:kern w:val="0"/>
          <w:sz w:val="32"/>
          <w:highlight w:val="none"/>
          <w:lang w:eastAsia="zh-CN"/>
        </w:rPr>
      </w:pPr>
    </w:p>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仿宋_GB2312" w:eastAsia="仿宋_GB2312"/>
          <w:bCs/>
          <w:snapToGrid w:val="0"/>
          <w:color w:val="auto"/>
          <w:kern w:val="0"/>
          <w:sz w:val="32"/>
          <w:highlight w:val="none"/>
          <w:lang w:eastAsia="zh-CN"/>
        </w:rPr>
      </w:pPr>
    </w:p>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仿宋_GB2312" w:eastAsia="仿宋_GB2312"/>
          <w:bCs/>
          <w:snapToGrid w:val="0"/>
          <w:color w:val="auto"/>
          <w:kern w:val="0"/>
          <w:sz w:val="32"/>
          <w:highlight w:val="none"/>
          <w:lang w:eastAsia="zh-CN"/>
        </w:rPr>
      </w:pPr>
    </w:p>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仿宋_GB2312" w:eastAsia="仿宋_GB2312"/>
          <w:bCs/>
          <w:snapToGrid w:val="0"/>
          <w:color w:val="auto"/>
          <w:kern w:val="0"/>
          <w:sz w:val="32"/>
          <w:highlight w:val="none"/>
          <w:lang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eastAsia="仿宋_GB2312"/>
          <w:bCs/>
          <w:color w:val="000000"/>
          <w:kern w:val="0"/>
          <w:sz w:val="32"/>
          <w:lang w:eastAsia="zh-CN"/>
        </w:rPr>
      </w:pPr>
      <w:bookmarkStart w:id="2" w:name="_GoBack"/>
      <w:bookmarkEnd w:id="2"/>
      <w:r>
        <w:rPr>
          <w:rFonts w:hint="eastAsia" w:ascii="黑体" w:eastAsia="黑体"/>
          <w:snapToGrid w:val="0"/>
          <w:color w:val="auto"/>
          <w:kern w:val="0"/>
          <w:sz w:val="32"/>
          <w:szCs w:val="32"/>
          <w:highlight w:val="none"/>
        </w:rPr>
        <w:pict>
          <v:line id="_x0000_s2050" o:spid="_x0000_s2050" o:spt="20" style="position:absolute;left:0pt;margin-left:-1.5pt;margin-top:3.65pt;height:0pt;width:450.9pt;z-index:251658240;mso-width-relative:page;mso-height-relative:page;" filled="f" coordsize="21600,21600">
            <v:path arrowok="t"/>
            <v:fill on="f" focussize="0,0"/>
            <v:stroke/>
            <v:imagedata o:title=""/>
            <o:lock v:ext="edit"/>
          </v:line>
        </w:pict>
      </w:r>
      <w:r>
        <w:rPr>
          <w:rFonts w:hint="eastAsia" w:ascii="黑体" w:eastAsia="黑体"/>
          <w:snapToGrid w:val="0"/>
          <w:color w:val="auto"/>
          <w:kern w:val="0"/>
          <w:sz w:val="32"/>
          <w:szCs w:val="32"/>
          <w:highlight w:val="none"/>
        </w:rPr>
        <w:pict>
          <v:line id="_x0000_s2051" o:spid="_x0000_s2051" o:spt="20" style="position:absolute;left:0pt;margin-left:-1.8pt;margin-top:31.75pt;height:0pt;width:450.9pt;z-index:251659264;mso-width-relative:page;mso-height-relative:page;" filled="f" coordsize="21600,21600">
            <v:path arrowok="t"/>
            <v:fill on="f" focussize="0,0"/>
            <v:stroke/>
            <v:imagedata o:title=""/>
            <o:lock v:ext="edit"/>
          </v:line>
        </w:pict>
      </w:r>
      <w:r>
        <w:rPr>
          <w:rFonts w:hint="eastAsia" w:ascii="黑体" w:eastAsia="黑体"/>
          <w:snapToGrid w:val="0"/>
          <w:color w:val="auto"/>
          <w:kern w:val="0"/>
          <w:sz w:val="32"/>
          <w:szCs w:val="32"/>
          <w:highlight w:val="none"/>
        </w:rPr>
        <w:t>县十九届人大</w:t>
      </w:r>
      <w:r>
        <w:rPr>
          <w:rFonts w:hint="eastAsia" w:ascii="黑体" w:eastAsia="黑体"/>
          <w:snapToGrid w:val="0"/>
          <w:color w:val="auto"/>
          <w:kern w:val="0"/>
          <w:sz w:val="32"/>
          <w:szCs w:val="32"/>
          <w:highlight w:val="none"/>
          <w:lang w:val="en-US" w:eastAsia="zh-CN"/>
        </w:rPr>
        <w:t>四</w:t>
      </w:r>
      <w:r>
        <w:rPr>
          <w:rFonts w:hint="eastAsia" w:ascii="黑体" w:eastAsia="黑体"/>
          <w:snapToGrid w:val="0"/>
          <w:color w:val="auto"/>
          <w:kern w:val="0"/>
          <w:sz w:val="32"/>
          <w:szCs w:val="32"/>
          <w:highlight w:val="none"/>
        </w:rPr>
        <w:t>次会议秘书处</w:t>
      </w:r>
      <w:r>
        <w:rPr>
          <w:rFonts w:hint="eastAsia" w:ascii="黑体" w:eastAsia="黑体"/>
          <w:snapToGrid w:val="0"/>
          <w:color w:val="auto"/>
          <w:kern w:val="0"/>
          <w:sz w:val="32"/>
          <w:szCs w:val="32"/>
          <w:highlight w:val="none"/>
          <w:lang w:val="en-US" w:eastAsia="zh-CN"/>
        </w:rPr>
        <w:t xml:space="preserve">             </w:t>
      </w:r>
      <w:r>
        <w:rPr>
          <w:rFonts w:hint="eastAsia" w:ascii="黑体" w:eastAsia="黑体"/>
          <w:snapToGrid w:val="0"/>
          <w:color w:val="auto"/>
          <w:kern w:val="0"/>
          <w:sz w:val="32"/>
          <w:szCs w:val="32"/>
          <w:highlight w:val="none"/>
        </w:rPr>
        <w:t>202</w:t>
      </w:r>
      <w:r>
        <w:rPr>
          <w:rFonts w:hint="eastAsia" w:ascii="黑体" w:eastAsia="黑体"/>
          <w:snapToGrid w:val="0"/>
          <w:color w:val="auto"/>
          <w:kern w:val="0"/>
          <w:sz w:val="32"/>
          <w:szCs w:val="32"/>
          <w:highlight w:val="none"/>
          <w:lang w:val="en-US" w:eastAsia="zh-CN"/>
        </w:rPr>
        <w:t>5</w:t>
      </w:r>
      <w:r>
        <w:rPr>
          <w:rFonts w:hint="eastAsia" w:ascii="黑体" w:hAnsi="Times New Roman" w:eastAsia="黑体" w:cs="Times New Roman"/>
          <w:snapToGrid w:val="0"/>
          <w:color w:val="auto"/>
          <w:kern w:val="0"/>
          <w:sz w:val="32"/>
          <w:szCs w:val="32"/>
          <w:highlight w:val="none"/>
        </w:rPr>
        <w:t>年</w:t>
      </w:r>
      <w:r>
        <w:rPr>
          <w:rFonts w:hint="eastAsia" w:ascii="黑体" w:hAnsi="Times New Roman" w:eastAsia="黑体" w:cs="Times New Roman"/>
          <w:snapToGrid w:val="0"/>
          <w:color w:val="auto"/>
          <w:kern w:val="0"/>
          <w:sz w:val="32"/>
          <w:szCs w:val="32"/>
          <w:highlight w:val="none"/>
          <w:lang w:val="en-US" w:eastAsia="zh-CN"/>
        </w:rPr>
        <w:t>2</w:t>
      </w:r>
      <w:r>
        <w:rPr>
          <w:rFonts w:hint="eastAsia" w:ascii="黑体" w:hAnsi="Times New Roman" w:eastAsia="黑体" w:cs="Times New Roman"/>
          <w:snapToGrid w:val="0"/>
          <w:color w:val="auto"/>
          <w:kern w:val="0"/>
          <w:sz w:val="32"/>
          <w:szCs w:val="32"/>
          <w:highlight w:val="none"/>
        </w:rPr>
        <w:t>月</w:t>
      </w:r>
      <w:r>
        <w:rPr>
          <w:rFonts w:hint="eastAsia" w:ascii="黑体" w:eastAsia="黑体" w:cs="Times New Roman"/>
          <w:snapToGrid w:val="0"/>
          <w:color w:val="auto"/>
          <w:kern w:val="0"/>
          <w:sz w:val="32"/>
          <w:szCs w:val="32"/>
          <w:highlight w:val="none"/>
          <w:lang w:val="en-US" w:eastAsia="zh-CN"/>
        </w:rPr>
        <w:t>27</w:t>
      </w:r>
      <w:r>
        <w:rPr>
          <w:rFonts w:hint="eastAsia" w:ascii="黑体" w:hAnsi="Times New Roman" w:eastAsia="黑体" w:cs="Times New Roman"/>
          <w:snapToGrid w:val="0"/>
          <w:color w:val="auto"/>
          <w:kern w:val="0"/>
          <w:sz w:val="32"/>
          <w:szCs w:val="32"/>
          <w:highlight w:val="none"/>
        </w:rPr>
        <w:t>日</w:t>
      </w:r>
    </w:p>
    <w:sectPr>
      <w:headerReference r:id="rId3" w:type="default"/>
      <w:footerReference r:id="rId4" w:type="default"/>
      <w:footerReference r:id="rId5" w:type="even"/>
      <w:pgSz w:w="11906" w:h="16838"/>
      <w:pgMar w:top="1587" w:right="1587" w:bottom="1587" w:left="1587" w:header="850" w:footer="992" w:gutter="0"/>
      <w:pgNumType w:fmt="decimal"/>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roman"/>
    <w:pitch w:val="default"/>
    <w:sig w:usb0="00000000" w:usb1="00000000" w:usb2="0000003F" w:usb3="00000000" w:csb0="603F01FF" w:csb1="FFFF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clear" w:pos="4153"/>
        <w:tab w:val="clear" w:pos="8306"/>
      </w:tabs>
      <w:ind w:right="360" w:firstLine="360"/>
      <w:rPr>
        <w:sz w:val="18"/>
      </w:rPr>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outside" w:yAlign="top"/>
      <w:tabs>
        <w:tab w:val="clear" w:pos="4153"/>
        <w:tab w:val="clear" w:pos="8306"/>
      </w:tabs>
    </w:pPr>
    <w:r>
      <w:fldChar w:fldCharType="begin"/>
    </w:r>
    <w:r>
      <w:rPr>
        <w:rStyle w:val="14"/>
      </w:rPr>
      <w:instrText xml:space="preserve">PAGE  </w:instrText>
    </w:r>
    <w:r>
      <w:fldChar w:fldCharType="separate"/>
    </w:r>
    <w:r>
      <w:rPr>
        <w:rStyle w:val="14"/>
      </w:rPr>
      <w:t>-4-</w:t>
    </w:r>
    <w:r>
      <w:fldChar w:fldCharType="end"/>
    </w:r>
  </w:p>
  <w:p>
    <w:pPr>
      <w:pStyle w:val="12"/>
      <w:tabs>
        <w:tab w:val="clear" w:pos="4153"/>
        <w:tab w:val="clear" w:pos="8306"/>
      </w:tabs>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tabs>
        <w:tab w:val="clear" w:pos="4153"/>
        <w:tab w:val="clear" w:pos="8306"/>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0"/>
  <w:displayHorizontalDrawingGridEvery w:val="1"/>
  <w:displayVerticalDrawingGridEvery w:val="1"/>
  <w:characterSpacingControl w:val="compressPunctuation"/>
  <w:hdrShapeDefaults>
    <o:shapelayout v:ext="edit">
      <o:idmap v:ext="edit" data="3,4"/>
    </o:shapelayout>
  </w:hdrShapeDefaults>
  <w:compat>
    <w:balanceSingleByteDoubleByteWidth/>
    <w:doNotLeaveBackslashAlone/>
    <w:ulTrailSpace/>
    <w:doNotExpandShiftReturn/>
    <w:adjustLineHeightInTable/>
    <w:useFELayout/>
    <w:compatSetting w:name="compatibilityMode" w:uri="http://schemas.microsoft.com/office/word" w:val="11"/>
  </w:compat>
  <w:rsids>
    <w:rsidRoot w:val="00000000"/>
    <w:rsid w:val="062D2D01"/>
    <w:rsid w:val="095459AD"/>
    <w:rsid w:val="1AC8034C"/>
    <w:rsid w:val="1EC92CFD"/>
    <w:rsid w:val="21833D91"/>
    <w:rsid w:val="271C0FCF"/>
    <w:rsid w:val="44495C8F"/>
    <w:rsid w:val="47032640"/>
    <w:rsid w:val="4C197AF8"/>
    <w:rsid w:val="633A217B"/>
    <w:rsid w:val="679418E2"/>
    <w:rsid w:val="67CE22C5"/>
    <w:rsid w:val="6DFE09CC"/>
    <w:rsid w:val="6F341255"/>
    <w:rsid w:val="747C4A97"/>
    <w:rsid w:val="7AD16F3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7"/>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qFormat/>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rPr>
  </w:style>
  <w:style w:type="character" w:styleId="5">
    <w:name w:val="page number"/>
    <w:basedOn w:val="4"/>
    <w:uiPriority w:val="0"/>
  </w:style>
  <w:style w:type="character" w:customStyle="1" w:styleId="7">
    <w:name w:val="默认段落字体1"/>
    <w:link w:val="1"/>
    <w:qFormat/>
    <w:uiPriority w:val="0"/>
  </w:style>
  <w:style w:type="table" w:customStyle="1" w:styleId="8">
    <w:name w:val="普通表格1"/>
    <w:semiHidden/>
    <w:qFormat/>
    <w:uiPriority w:val="0"/>
  </w:style>
  <w:style w:type="paragraph" w:customStyle="1" w:styleId="9">
    <w:name w:val="文档结构图1"/>
    <w:basedOn w:val="1"/>
    <w:uiPriority w:val="0"/>
    <w:pPr>
      <w:shd w:val="clear" w:color="auto" w:fill="000080"/>
    </w:pPr>
  </w:style>
  <w:style w:type="paragraph" w:customStyle="1" w:styleId="10">
    <w:name w:val="正文文本1"/>
    <w:basedOn w:val="1"/>
    <w:qFormat/>
    <w:uiPriority w:val="0"/>
    <w:rPr>
      <w:rFonts w:ascii="宋体" w:hAnsi="宋体" w:eastAsia="宋体"/>
      <w:sz w:val="29"/>
      <w:szCs w:val="29"/>
    </w:rPr>
  </w:style>
  <w:style w:type="paragraph" w:customStyle="1" w:styleId="11">
    <w:name w:val="批注框文本1"/>
    <w:basedOn w:val="1"/>
    <w:semiHidden/>
    <w:qFormat/>
    <w:uiPriority w:val="0"/>
    <w:rPr>
      <w:sz w:val="18"/>
      <w:szCs w:val="18"/>
    </w:rPr>
  </w:style>
  <w:style w:type="paragraph" w:customStyle="1" w:styleId="12">
    <w:name w:val="页脚1"/>
    <w:basedOn w:val="1"/>
    <w:qFormat/>
    <w:uiPriority w:val="0"/>
    <w:pPr>
      <w:tabs>
        <w:tab w:val="center" w:pos="4153"/>
        <w:tab w:val="right" w:pos="8306"/>
      </w:tabs>
      <w:snapToGrid w:val="0"/>
      <w:jc w:val="left"/>
    </w:pPr>
    <w:rPr>
      <w:sz w:val="18"/>
    </w:rPr>
  </w:style>
  <w:style w:type="paragraph" w:customStyle="1" w:styleId="13">
    <w:name w:val="页眉1"/>
    <w:basedOn w:val="1"/>
    <w:qFormat/>
    <w:uiPriority w:val="0"/>
    <w:pPr>
      <w:pBdr>
        <w:bottom w:val="single" w:color="auto" w:sz="6" w:space="1"/>
      </w:pBdr>
      <w:tabs>
        <w:tab w:val="center" w:pos="4153"/>
        <w:tab w:val="right" w:pos="8306"/>
      </w:tabs>
      <w:snapToGrid w:val="0"/>
      <w:jc w:val="center"/>
    </w:pPr>
    <w:rPr>
      <w:sz w:val="18"/>
    </w:rPr>
  </w:style>
  <w:style w:type="character" w:customStyle="1" w:styleId="14">
    <w:name w:val="页码1"/>
    <w:basedOn w:val="7"/>
    <w:link w:val="1"/>
    <w:qFormat/>
    <w:uiPriority w:val="0"/>
  </w:style>
  <w:style w:type="character" w:customStyle="1" w:styleId="15">
    <w:name w:val="超链接1"/>
    <w:basedOn w:val="7"/>
    <w:link w:val="1"/>
    <w:qFormat/>
    <w:uiPriority w:val="0"/>
    <w:rPr>
      <w:color w:val="0000FF"/>
      <w:u w:val="single"/>
    </w:rPr>
  </w:style>
  <w:style w:type="character" w:customStyle="1" w:styleId="16">
    <w:name w:val="新闻内容"/>
    <w:basedOn w:val="7"/>
    <w:link w:val="1"/>
    <w:qFormat/>
    <w:uiPriority w:val="0"/>
  </w:style>
  <w:style w:type="character" w:customStyle="1" w:styleId="17">
    <w:name w:val="a911"/>
    <w:basedOn w:val="7"/>
    <w:link w:val="1"/>
    <w:qFormat/>
    <w:uiPriority w:val="0"/>
    <w:rPr>
      <w:sz w:val="20"/>
    </w:rPr>
  </w:style>
  <w:style w:type="paragraph" w:customStyle="1" w:styleId="18">
    <w:name w:val="Char Char Char"/>
    <w:basedOn w:val="9"/>
    <w:qFormat/>
    <w:uiPriority w:val="0"/>
    <w:pPr>
      <w:spacing w:beforeAutospacing="0" w:afterAutospacing="0" w:line="360" w:lineRule="auto"/>
    </w:pPr>
    <w:rPr>
      <w:rFonts w:ascii="Tahoma" w:hAnsi="Tahoma"/>
      <w:sz w:val="24"/>
    </w:rPr>
  </w:style>
  <w:style w:type="paragraph" w:customStyle="1" w:styleId="19">
    <w:name w:val="正文 A"/>
    <w:qFormat/>
    <w:uiPriority w:val="0"/>
    <w:pPr>
      <w:widowControl w:val="0"/>
      <w:jc w:val="both"/>
    </w:pPr>
    <w:rPr>
      <w:rFonts w:hint="eastAsia" w:ascii="Arial Unicode MS" w:hAnsi="Arial Unicode MS" w:eastAsia="Arial Unicode MS" w:cs="Times New Roman"/>
      <w:color w:val="000000"/>
      <w:kern w:val="2"/>
      <w:sz w:val="21"/>
      <w:szCs w:val="21"/>
      <w:lang w:val="en-US" w:eastAsia="zh-CN" w:bidi="ar-SA"/>
    </w:rPr>
  </w:style>
  <w:style w:type="paragraph" w:customStyle="1" w:styleId="20">
    <w:name w:val=" Char"/>
    <w:basedOn w:val="9"/>
    <w:qFormat/>
    <w:uiPriority w:val="0"/>
    <w:pPr>
      <w:spacing w:beforeAutospacing="0" w:afterAutospacing="0" w:line="360" w:lineRule="auto"/>
    </w:pPr>
    <w:rPr>
      <w:rFonts w:ascii="Tahoma" w:hAnsi="Tahoma"/>
      <w:sz w:val="24"/>
    </w:rPr>
  </w:style>
  <w:style w:type="paragraph" w:customStyle="1" w:styleId="21">
    <w:name w:val="Char1 Char Char Char"/>
    <w:basedOn w:val="1"/>
    <w:qFormat/>
    <w:uiPriority w:val="0"/>
    <w:rPr>
      <w:rFonts w:ascii="Calibri" w:hAnsi="Calibri"/>
      <w:szCs w:val="24"/>
    </w:rPr>
  </w:style>
  <w:style w:type="paragraph" w:customStyle="1" w:styleId="22">
    <w:name w:val="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23">
    <w:name w:val="默认段落字体 Para Char"/>
    <w:basedOn w:val="1"/>
    <w:qFormat/>
    <w:uiPriority w:val="0"/>
    <w:pPr>
      <w:spacing w:line="360" w:lineRule="auto"/>
      <w:ind w:firstLine="200" w:firstLineChars="200"/>
    </w:pPr>
  </w:style>
  <w:style w:type="paragraph" w:customStyle="1" w:styleId="24">
    <w:name w:val="_Style 3"/>
    <w:basedOn w:val="1"/>
    <w:qFormat/>
    <w:uiPriority w:val="0"/>
    <w:pPr>
      <w:widowControl/>
      <w:spacing w:after="160" w:line="240" w:lineRule="exact"/>
      <w:jc w:val="left"/>
    </w:pPr>
  </w:style>
  <w:style w:type="paragraph" w:customStyle="1" w:styleId="25">
    <w:name w:val=" Char Char Char Char"/>
    <w:basedOn w:val="1"/>
    <w:qFormat/>
    <w:uiPriority w:val="0"/>
    <w:pPr>
      <w:widowControl/>
      <w:spacing w:after="160" w:afterAutospacing="0" w:line="240" w:lineRule="exact"/>
      <w:jc w:val="left"/>
    </w:pPr>
    <w:rPr>
      <w:rFonts w:ascii="Arial" w:hAnsi="Arial" w:eastAsia="Times New Roman"/>
      <w:b/>
      <w:kern w:val="0"/>
      <w:sz w:val="24"/>
      <w:lang w:eastAsia="en-US"/>
    </w:rPr>
  </w:style>
  <w:style w:type="paragraph" w:customStyle="1" w:styleId="26">
    <w:name w:val="TOC1"/>
    <w:basedOn w:val="1"/>
    <w:qFormat/>
    <w:uiPriority w:val="0"/>
    <w:pPr>
      <w:jc w:val="both"/>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TotalTime>15</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2025-02-24T01:00:00Z</dcterms:created>
  <dc:creator>Lenovo</dc:creator>
  <cp:lastModifiedBy>Lenovo</cp:lastModifiedBy>
  <dcterms:modified xsi:type="dcterms:W3CDTF">2025-02-26T07:17:06Z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