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F8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宁阳县加油、加氢站专项规划（2023-2035年）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解读</w:t>
      </w:r>
    </w:p>
    <w:p w14:paraId="58A241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</w:pPr>
    </w:p>
    <w:p w14:paraId="51F193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  <w:t>一、规划编制目的</w:t>
      </w:r>
    </w:p>
    <w:p w14:paraId="0CA1EF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为适应城市未来的发展和需要，指导现状加油站的优化整合和新建加油、加氢站的布点设置，保障城市交通功能安全运行，结合宁阳县发展实际，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编制了《宁阳县加油、加氢站专项规划（2023-2035年）》。</w:t>
      </w:r>
    </w:p>
    <w:p w14:paraId="751354F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二、规划编制依据</w:t>
      </w:r>
    </w:p>
    <w:p w14:paraId="68F3BC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《中华人民共和国城乡规划法》、《中华人民共和国土地管理法》、《关于完善加油站行业发展规划的意见》、《关于做好石油成品油流通管理“放管服”改革工作的通知》《成品油零售企业管理技术规范》、《石油成品油流通行业管理工作指引》、《汽车加油加气加氢站技术标准》(GB50156-2021)、《建筑设计防火规范》（GB50016-2014）2018年版、《山东省能源发展“十四五”规划》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市“十四五”能源发展规划》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《宁阳县综合交通中长期发展规划（2021-2035年）》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等等。</w:t>
      </w:r>
    </w:p>
    <w:p w14:paraId="089F69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三、编制过程</w:t>
      </w:r>
    </w:p>
    <w:p w14:paraId="7CEDE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本《规划》前期已经征求了7个县委常委部门、14家县直部门、13个乡镇（街道）、2个园区、部分企业对《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 w:eastAsia="zh-CN" w:bidi="ar"/>
        </w:rPr>
        <w:t>宁阳县加油、加氢站专项规划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（2023-2035年）》的意见建议；2023年9月26日组织相关部门、单位召开了《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 w:eastAsia="zh-CN" w:bidi="ar"/>
        </w:rPr>
        <w:t>宁阳县加油、加氢站专项规划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（2023-2035年）》专家评审会，通过了评审；2024年1月23日经规委会专题会议审议通过；同时《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 w:eastAsia="zh-CN" w:bidi="ar"/>
        </w:rPr>
        <w:t>宁阳县加油、加氢站专项规划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（2023-2035年）》已通过政府网站进行公示完毕，未收到反馈意见。</w:t>
      </w:r>
    </w:p>
    <w:p w14:paraId="35C54C5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  <w:t>四、规划内容</w:t>
      </w:r>
    </w:p>
    <w:p w14:paraId="63DA4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  <w:t>《规划》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遵循了五大原则：一是突出“三区四园”原则；二是突出东绕城等重点要道原则；三是突出提前布局原则，重点围绕石材园、空港物流园、畜禽园、大安机场等提前进行规划；四是突出消费者加油方便原则；五是突出加油、加氢新能源结合原则。</w:t>
      </w:r>
      <w:r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  <w:t>《规划》共分为九个部分，第一到第二部分是总体思路，明确了规划的指导思想、规划原则和规划目标，对加油、加氢站的需求进行预测。第三到第七部分，是具体规划内容，明确了加油、加氢站的建设标准和规定及投资估算，对近期、远期的加油站、加油加氢合建站进行了详细规划。第八到第九部分是保障措施，明确了规划管理方面的工作措施。</w:t>
      </w:r>
    </w:p>
    <w:p w14:paraId="4804F9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  <w:t>规划期限为</w:t>
      </w:r>
      <w:r>
        <w:rPr>
          <w:rFonts w:hint="default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  <w:t>2023-2035</w:t>
      </w:r>
      <w:r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  <w:t>年。其中，近期规划为</w:t>
      </w:r>
      <w:r>
        <w:rPr>
          <w:rFonts w:hint="default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  <w:t>2023-2025</w:t>
      </w:r>
      <w:r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  <w:t>年，规划在鹤山镇、伏山镇、堽城镇、磁窑镇、华丰镇等乡镇新布局10座加油站；远期规划为</w:t>
      </w:r>
      <w:r>
        <w:rPr>
          <w:rFonts w:hint="default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  <w:t>2026-2035</w:t>
      </w:r>
      <w:r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  <w:t>年，规划在文庙街道、泗店镇、东疏镇、伏山镇、蒋集镇、华丰镇、高新技术产业开发区等乡镇园区新布局20座加油站、4座加油加氢合建站。</w:t>
      </w:r>
      <w:bookmarkStart w:id="0" w:name="_GoBack"/>
      <w:bookmarkEnd w:id="0"/>
    </w:p>
    <w:p w14:paraId="40762D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  <w:t>《规划》通过保留现状在营加油站、规划新建加油站和加油加氢合建站等措施，逐步构建起科学均衡、竞争有序、功能完善的现代化加油、加氢站服务网络体系。同时，注重节约用地、安全稳定和节能环保等方面的要求，确保加油、加氢站的建设和运营符合国家和地方的相关标准。</w:t>
      </w:r>
    </w:p>
    <w:p w14:paraId="22A600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</w:pPr>
    </w:p>
    <w:p w14:paraId="0B9058D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pacing w:val="0"/>
          <w:kern w:val="2"/>
          <w:sz w:val="32"/>
          <w:szCs w:val="36"/>
          <w:highlight w:val="none"/>
          <w:shd w:val="clear" w:color="auto" w:fill="FFFFFF"/>
          <w:lang w:val="en-US" w:eastAsia="zh-CN" w:bidi="ar-SA"/>
        </w:rPr>
      </w:pPr>
    </w:p>
    <w:p w14:paraId="6800E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B42A5"/>
    <w:rsid w:val="0AEC662C"/>
    <w:rsid w:val="1C744E67"/>
    <w:rsid w:val="26697889"/>
    <w:rsid w:val="27181565"/>
    <w:rsid w:val="2B1C1758"/>
    <w:rsid w:val="352E7146"/>
    <w:rsid w:val="3CA22EDA"/>
    <w:rsid w:val="58F83B94"/>
    <w:rsid w:val="66C86EC3"/>
    <w:rsid w:val="681079CD"/>
    <w:rsid w:val="6ECB7DD2"/>
    <w:rsid w:val="77F9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1191</Characters>
  <Lines>0</Lines>
  <Paragraphs>0</Paragraphs>
  <TotalTime>4</TotalTime>
  <ScaleCrop>false</ScaleCrop>
  <LinksUpToDate>false</LinksUpToDate>
  <CharactersWithSpaces>1191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2025-01-16T00:45:00Z</dcterms:created>
  <dc:creator>Lenovo</dc:creator>
  <cp:lastModifiedBy>柚子</cp:lastModifiedBy>
  <dcterms:modified xsi:type="dcterms:W3CDTF">2025-01-16T03:26:57Z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eyJoZGlkIjoiNThiMTkxYTBhMjU4ZDFiZDVjNGRiNTYzZjFjNjViYTAiLCJ1c2VySWQiOiI2NzU5MDgwODAifQ==</vt:lpwstr>
  </property>
  <property fmtid="{D5CDD505-2E9C-101B-9397-08002B2CF9AE}" pid="4" name="ICV">
    <vt:lpwstr>17FA24CB16864F03A8ECD17C5EE91FC3_12</vt:lpwstr>
  </property>
</Properties>
</file>