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5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Arial"/>
          <w:color w:val="333333"/>
          <w:spacing w:val="5"/>
          <w:sz w:val="36"/>
          <w:szCs w:val="36"/>
          <w:lang w:eastAsia="zh-CN"/>
        </w:rPr>
        <w:t>乡镇政府</w:t>
      </w:r>
      <w:r>
        <w:rPr>
          <w:rFonts w:hint="eastAsia" w:ascii="方正小标宋简体" w:hAnsi="微软雅黑" w:eastAsia="方正小标宋简体" w:cs="Arial"/>
          <w:color w:val="333333"/>
          <w:spacing w:val="5"/>
          <w:sz w:val="36"/>
          <w:szCs w:val="36"/>
        </w:rPr>
        <w:t>户籍管理领域基层政务公开标准目录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pacing w:val="5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spacing w:val="5"/>
          <w:kern w:val="0"/>
          <w:sz w:val="24"/>
          <w:szCs w:val="24"/>
        </w:rPr>
        <w:t> </w:t>
      </w:r>
    </w:p>
    <w:tbl>
      <w:tblPr>
        <w:tblStyle w:val="2"/>
        <w:tblW w:w="13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07"/>
        <w:gridCol w:w="684"/>
        <w:gridCol w:w="2160"/>
        <w:gridCol w:w="2520"/>
        <w:gridCol w:w="1620"/>
        <w:gridCol w:w="832"/>
        <w:gridCol w:w="1800"/>
        <w:gridCol w:w="540"/>
        <w:gridCol w:w="709"/>
        <w:gridCol w:w="55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公开</w:t>
            </w:r>
          </w:p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主体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事项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二级</w:t>
            </w:r>
          </w:p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事项</w:t>
            </w: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全社会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特定群众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主动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5"/>
                <w:kern w:val="0"/>
                <w:sz w:val="24"/>
                <w:szCs w:val="24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出生</w:t>
            </w: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登记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出生</w:t>
            </w: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登记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收养、入籍等登记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收养</w:t>
            </w: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登记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《户口登记条例》、《收养法》、《中国公民收养子女登记办法》、《国籍法》、《政府信息公开条例》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3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注销登记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死亡注销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4</w:t>
            </w: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服现役注销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迁移登记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迁出、迁入登记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《户口登记条例》、《中华人民共和国政府信息公开条例》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6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户口登记项目变更更正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姓名变更、更正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7</w:t>
            </w: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性别变更、更正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8</w:t>
            </w: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民族成份变更、更正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《中国公民民族成份登记管理办法》、《政府信息公开条例》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9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暂住登记及居住证管理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暂住登记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《户口登记条例》、《政府信息公开条例》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10</w:t>
            </w: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居住证申领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《居住证暂行条例》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《山东省流动人口服务管理暂行办法》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11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暂住登记及居住证管理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居住证换、补领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《居住证暂行条例》、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《山东省流动人口服务管理暂行办法》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12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暂住登记及居住证管理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居住证签注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《居住证暂行条例》、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《山东省流动人口服务管理暂行办法》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13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港澳台居民居住证管理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港澳台居民居住证申领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14</w:t>
            </w: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港澳台居民居住证换、补领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15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居民身份证管理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居民身份证申领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《居民身份证法》、《政府信息公开条例》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16</w:t>
            </w: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居民身份证换、补领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《居民身份证法》、《政府信息公开条例》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17</w:t>
            </w:r>
          </w:p>
        </w:tc>
        <w:tc>
          <w:tcPr>
            <w:tcW w:w="80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居民身份证管理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临时居民身份证申领、换领、补领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《临时居民身份证管理办法》、《政府信息公开条例》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18</w:t>
            </w:r>
          </w:p>
        </w:tc>
        <w:tc>
          <w:tcPr>
            <w:tcW w:w="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异地申请换、补领居民身份证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受理部门、办理条件、办理流程、所需材料、办理时限、收费依据及标准      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《居民身份证法》、《公安部关于印发&lt;关于建立居民身份证异地受理挂失申报和丢失招领制度的意见&gt;的通知》、《政府信息公开条例》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形成或者变更之日起20个工作日内予以公开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  <w:lang w:eastAsia="zh-CN"/>
              </w:rPr>
              <w:t>乡镇政府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■社区/企事业单位/村公示栏（电子屏）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■查阅点  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■便民服务站</w:t>
            </w:r>
          </w:p>
          <w:p>
            <w:pPr>
              <w:widowControl/>
              <w:spacing w:line="57" w:lineRule="atLeast"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■入户/现场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" w:lineRule="atLeast"/>
              <w:jc w:val="left"/>
              <w:rPr>
                <w:rFonts w:ascii="宋体" w:hAnsi="宋体" w:eastAsia="宋体" w:cs="宋体"/>
                <w:color w:val="333333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5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D13"/>
    <w:rsid w:val="00536483"/>
    <w:rsid w:val="006D0505"/>
    <w:rsid w:val="00A65D13"/>
    <w:rsid w:val="4D606412"/>
    <w:rsid w:val="5D89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458</Words>
  <Characters>2612</Characters>
  <Lines>21</Lines>
  <Paragraphs>6</Paragraphs>
  <TotalTime>6</TotalTime>
  <ScaleCrop>false</ScaleCrop>
  <LinksUpToDate>false</LinksUpToDate>
  <CharactersWithSpaces>3064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2020-11-25T00:35:00Z</dcterms:created>
  <dc:creator>Administrator</dc:creator>
  <cp:lastModifiedBy>喜小仔</cp:lastModifiedBy>
  <dcterms:modified xsi:type="dcterms:W3CDTF">2021-01-28T10:02:57Z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